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rFonts w:hint="eastAsia"/>
          <w:color w:val="auto"/>
          <w:highlight w:val="none"/>
          <w:lang w:val="en-US" w:eastAsia="zh-Hans"/>
        </w:rPr>
      </w:pPr>
      <w:bookmarkStart w:id="77" w:name="_GoBack"/>
      <w:r>
        <w:rPr>
          <w:color w:val="auto"/>
          <w:highlight w:val="none"/>
        </w:rPr>
        <w:br w:type="textWrapping"/>
      </w:r>
    </w:p>
    <w:p>
      <w:pPr>
        <w:pStyle w:val="5"/>
        <w:bidi w:val="0"/>
        <w:jc w:val="center"/>
        <w:rPr>
          <w:color w:val="auto"/>
          <w:sz w:val="84"/>
          <w:szCs w:val="84"/>
          <w:highlight w:val="none"/>
        </w:rPr>
      </w:pPr>
      <w:r>
        <w:rPr>
          <w:color w:val="auto"/>
          <w:sz w:val="84"/>
          <w:szCs w:val="84"/>
          <w:highlight w:val="none"/>
        </w:rPr>
        <w:t>福建省政府采购</w:t>
      </w:r>
    </w:p>
    <w:p>
      <w:pPr>
        <w:pStyle w:val="5"/>
        <w:bidi w:val="0"/>
        <w:jc w:val="center"/>
        <w:rPr>
          <w:color w:val="auto"/>
          <w:sz w:val="84"/>
          <w:szCs w:val="84"/>
          <w:highlight w:val="none"/>
        </w:rPr>
      </w:pPr>
      <w:r>
        <w:rPr>
          <w:color w:val="auto"/>
          <w:sz w:val="84"/>
          <w:szCs w:val="84"/>
          <w:highlight w:val="none"/>
        </w:rPr>
        <w:t>货物和服务项目</w:t>
      </w:r>
    </w:p>
    <w:p>
      <w:pPr>
        <w:pStyle w:val="5"/>
        <w:bidi w:val="0"/>
        <w:jc w:val="center"/>
        <w:rPr>
          <w:color w:val="auto"/>
          <w:sz w:val="84"/>
          <w:szCs w:val="84"/>
          <w:highlight w:val="none"/>
        </w:rPr>
      </w:pPr>
      <w:r>
        <w:rPr>
          <w:color w:val="auto"/>
          <w:sz w:val="84"/>
          <w:szCs w:val="84"/>
          <w:highlight w:val="none"/>
        </w:rPr>
        <w:t>公开招标文件</w:t>
      </w:r>
    </w:p>
    <w:p>
      <w:pPr>
        <w:pStyle w:val="19"/>
        <w:jc w:val="both"/>
        <w:outlineLvl w:val="2"/>
        <w:rPr>
          <w:b/>
          <w:color w:val="auto"/>
          <w:sz w:val="28"/>
          <w:highlight w:val="none"/>
        </w:rPr>
      </w:pPr>
    </w:p>
    <w:p>
      <w:pPr>
        <w:pStyle w:val="19"/>
        <w:jc w:val="both"/>
        <w:outlineLvl w:val="2"/>
        <w:rPr>
          <w:b/>
          <w:color w:val="auto"/>
          <w:sz w:val="28"/>
          <w:highlight w:val="none"/>
        </w:rPr>
      </w:pPr>
    </w:p>
    <w:p>
      <w:pPr>
        <w:pStyle w:val="19"/>
        <w:ind w:firstLine="561" w:firstLineChars="200"/>
        <w:jc w:val="left"/>
        <w:outlineLvl w:val="2"/>
        <w:rPr>
          <w:rFonts w:hint="eastAsia"/>
          <w:b/>
          <w:color w:val="auto"/>
          <w:sz w:val="28"/>
          <w:highlight w:val="none"/>
          <w:lang w:eastAsia="zh-CN"/>
        </w:rPr>
      </w:pPr>
      <w:r>
        <w:rPr>
          <w:b/>
          <w:color w:val="auto"/>
          <w:sz w:val="28"/>
          <w:highlight w:val="none"/>
        </w:rPr>
        <w:t>项目名称：</w:t>
      </w:r>
      <w:r>
        <w:rPr>
          <w:rFonts w:hint="eastAsia"/>
          <w:b/>
          <w:color w:val="auto"/>
          <w:sz w:val="28"/>
          <w:highlight w:val="none"/>
          <w:lang w:eastAsia="zh-CN"/>
        </w:rPr>
        <w:t>数字化平板造影X线机（胃肠摄影X线机）、数字</w:t>
      </w:r>
    </w:p>
    <w:p>
      <w:pPr>
        <w:pStyle w:val="19"/>
        <w:ind w:firstLine="561" w:firstLineChars="200"/>
        <w:jc w:val="left"/>
        <w:outlineLvl w:val="2"/>
        <w:rPr>
          <w:rFonts w:hint="eastAsia"/>
          <w:b/>
          <w:color w:val="auto"/>
          <w:sz w:val="28"/>
          <w:highlight w:val="none"/>
          <w:lang w:eastAsia="zh-CN"/>
        </w:rPr>
      </w:pPr>
      <w:r>
        <w:rPr>
          <w:rFonts w:hint="eastAsia"/>
          <w:b/>
          <w:color w:val="auto"/>
          <w:sz w:val="28"/>
          <w:highlight w:val="none"/>
          <w:lang w:eastAsia="zh-CN"/>
        </w:rPr>
        <w:t>化双板X线（DR）机、乳腺钼靶X线机及移动DR(床旁拍片机)</w:t>
      </w:r>
    </w:p>
    <w:p>
      <w:pPr>
        <w:pStyle w:val="19"/>
        <w:ind w:firstLine="561" w:firstLineChars="200"/>
        <w:jc w:val="left"/>
        <w:outlineLvl w:val="2"/>
        <w:rPr>
          <w:rFonts w:hint="eastAsia"/>
          <w:b/>
          <w:color w:val="auto"/>
          <w:sz w:val="28"/>
          <w:highlight w:val="none"/>
          <w:lang w:eastAsia="zh-CN"/>
        </w:rPr>
      </w:pPr>
      <w:r>
        <w:rPr>
          <w:rFonts w:hint="eastAsia"/>
          <w:b/>
          <w:color w:val="auto"/>
          <w:sz w:val="28"/>
          <w:highlight w:val="none"/>
          <w:lang w:eastAsia="zh-CN"/>
        </w:rPr>
        <w:t>医疗设备采购项目</w:t>
      </w:r>
    </w:p>
    <w:p>
      <w:pPr>
        <w:pStyle w:val="19"/>
        <w:ind w:firstLine="561" w:firstLineChars="200"/>
        <w:jc w:val="both"/>
        <w:outlineLvl w:val="2"/>
        <w:rPr>
          <w:rFonts w:hint="eastAsia" w:eastAsiaTheme="minorEastAsia"/>
          <w:color w:val="auto"/>
          <w:highlight w:val="none"/>
          <w:lang w:eastAsia="zh-CN"/>
        </w:rPr>
      </w:pPr>
      <w:r>
        <w:rPr>
          <w:b/>
          <w:color w:val="auto"/>
          <w:sz w:val="28"/>
          <w:highlight w:val="none"/>
        </w:rPr>
        <w:t>项目编号：</w:t>
      </w:r>
      <w:r>
        <w:rPr>
          <w:rFonts w:hint="eastAsia"/>
          <w:b/>
          <w:color w:val="auto"/>
          <w:sz w:val="28"/>
          <w:highlight w:val="none"/>
          <w:lang w:eastAsia="zh-CN"/>
        </w:rPr>
        <w:t>JRZBPT（GK）2024-031</w:t>
      </w:r>
    </w:p>
    <w:p>
      <w:pPr>
        <w:pStyle w:val="19"/>
        <w:ind w:firstLine="561" w:firstLineChars="200"/>
        <w:jc w:val="both"/>
        <w:outlineLvl w:val="2"/>
        <w:rPr>
          <w:rFonts w:hint="eastAsia" w:eastAsiaTheme="minorEastAsia"/>
          <w:color w:val="auto"/>
          <w:highlight w:val="none"/>
          <w:lang w:eastAsia="zh-CN"/>
        </w:rPr>
      </w:pPr>
      <w:r>
        <w:rPr>
          <w:b/>
          <w:color w:val="auto"/>
          <w:sz w:val="28"/>
          <w:highlight w:val="none"/>
        </w:rPr>
        <w:t>采购人：</w:t>
      </w:r>
      <w:r>
        <w:rPr>
          <w:rFonts w:hint="eastAsia"/>
          <w:b/>
          <w:color w:val="auto"/>
          <w:sz w:val="28"/>
          <w:highlight w:val="none"/>
          <w:lang w:eastAsia="zh-CN"/>
        </w:rPr>
        <w:t>福建省仙游县总医院</w:t>
      </w:r>
    </w:p>
    <w:p>
      <w:pPr>
        <w:pStyle w:val="19"/>
        <w:jc w:val="both"/>
        <w:outlineLvl w:val="2"/>
        <w:rPr>
          <w:b/>
          <w:color w:val="auto"/>
          <w:sz w:val="28"/>
          <w:highlight w:val="none"/>
        </w:rPr>
      </w:pPr>
    </w:p>
    <w:p>
      <w:pPr>
        <w:pStyle w:val="19"/>
        <w:jc w:val="both"/>
        <w:outlineLvl w:val="2"/>
        <w:rPr>
          <w:b/>
          <w:color w:val="auto"/>
          <w:sz w:val="28"/>
          <w:highlight w:val="none"/>
        </w:rPr>
      </w:pPr>
    </w:p>
    <w:p>
      <w:pPr>
        <w:pStyle w:val="19"/>
        <w:jc w:val="center"/>
        <w:outlineLvl w:val="2"/>
        <w:rPr>
          <w:b/>
          <w:color w:val="auto"/>
          <w:sz w:val="28"/>
          <w:highlight w:val="none"/>
        </w:rPr>
      </w:pPr>
    </w:p>
    <w:p>
      <w:pPr>
        <w:pStyle w:val="19"/>
        <w:jc w:val="center"/>
        <w:outlineLvl w:val="2"/>
        <w:rPr>
          <w:rFonts w:hint="eastAsia" w:eastAsiaTheme="minorEastAsia"/>
          <w:color w:val="auto"/>
          <w:highlight w:val="none"/>
          <w:lang w:eastAsia="zh-CN"/>
        </w:rPr>
      </w:pPr>
      <w:r>
        <w:rPr>
          <w:b/>
          <w:color w:val="auto"/>
          <w:sz w:val="28"/>
          <w:highlight w:val="none"/>
        </w:rPr>
        <w:t>代理机构：</w:t>
      </w:r>
      <w:r>
        <w:rPr>
          <w:rFonts w:hint="eastAsia"/>
          <w:b/>
          <w:color w:val="auto"/>
          <w:sz w:val="28"/>
          <w:highlight w:val="none"/>
          <w:lang w:eastAsia="zh-CN"/>
        </w:rPr>
        <w:t>福建吉瑞招标代理有限公司</w:t>
      </w:r>
    </w:p>
    <w:p>
      <w:pPr>
        <w:pStyle w:val="19"/>
        <w:jc w:val="center"/>
        <w:outlineLvl w:val="2"/>
        <w:rPr>
          <w:color w:val="auto"/>
          <w:highlight w:val="none"/>
        </w:rPr>
      </w:pPr>
      <w:r>
        <w:rPr>
          <w:b/>
          <w:color w:val="auto"/>
          <w:sz w:val="28"/>
          <w:highlight w:val="none"/>
        </w:rPr>
        <w:t>编制时间：2024年</w:t>
      </w:r>
      <w:r>
        <w:rPr>
          <w:rFonts w:hint="eastAsia"/>
          <w:b/>
          <w:color w:val="auto"/>
          <w:sz w:val="28"/>
          <w:highlight w:val="none"/>
          <w:lang w:val="en-US" w:eastAsia="zh-CN"/>
        </w:rPr>
        <w:t>8</w:t>
      </w:r>
      <w:r>
        <w:rPr>
          <w:b/>
          <w:color w:val="auto"/>
          <w:sz w:val="28"/>
          <w:highlight w:val="none"/>
        </w:rPr>
        <w:t>月</w:t>
      </w:r>
    </w:p>
    <w:p>
      <w:pPr>
        <w:pStyle w:val="19"/>
        <w:jc w:val="center"/>
        <w:outlineLvl w:val="1"/>
        <w:rPr>
          <w:color w:val="auto"/>
          <w:highlight w:val="none"/>
        </w:rPr>
        <w:sectPr>
          <w:pgSz w:w="11906" w:h="16838"/>
          <w:pgMar w:top="1440" w:right="1800" w:bottom="1440" w:left="1800" w:header="851" w:footer="992" w:gutter="0"/>
          <w:pgNumType w:fmt="decimal"/>
          <w:cols w:space="425" w:num="1"/>
          <w:docGrid w:type="lines" w:linePitch="312" w:charSpace="0"/>
        </w:sectPr>
      </w:pPr>
      <w:r>
        <w:rPr>
          <w:color w:val="auto"/>
          <w:highlight w:val="none"/>
        </w:rPr>
        <w:t xml:space="preserve"> </w:t>
      </w:r>
      <w:r>
        <w:rPr>
          <w:color w:val="auto"/>
          <w:highlight w:val="none"/>
        </w:rPr>
        <w:br w:type="textWrapping"/>
      </w:r>
    </w:p>
    <w:p>
      <w:pPr>
        <w:pStyle w:val="19"/>
        <w:jc w:val="center"/>
        <w:outlineLvl w:val="1"/>
        <w:rPr>
          <w:color w:val="auto"/>
          <w:highlight w:val="none"/>
        </w:rPr>
      </w:pPr>
      <w:r>
        <w:rPr>
          <w:b/>
          <w:color w:val="auto"/>
          <w:sz w:val="36"/>
          <w:highlight w:val="none"/>
        </w:rPr>
        <w:t>第一章</w:t>
      </w:r>
      <w:r>
        <w:rPr>
          <w:rFonts w:hint="eastAsia"/>
          <w:b/>
          <w:color w:val="auto"/>
          <w:sz w:val="36"/>
          <w:highlight w:val="none"/>
          <w:lang w:val="en-US" w:eastAsia="zh-CN"/>
        </w:rPr>
        <w:t xml:space="preserve">  </w:t>
      </w:r>
      <w:r>
        <w:rPr>
          <w:b/>
          <w:color w:val="auto"/>
          <w:sz w:val="36"/>
          <w:highlight w:val="none"/>
        </w:rPr>
        <w:t>投标邀请</w:t>
      </w:r>
    </w:p>
    <w:p>
      <w:pPr>
        <w:pStyle w:val="19"/>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福建吉瑞招标代理有限公司</w:t>
      </w:r>
      <w:r>
        <w:rPr>
          <w:rFonts w:hint="eastAsia" w:ascii="宋体" w:hAnsi="宋体" w:eastAsia="宋体" w:cs="宋体"/>
          <w:color w:val="auto"/>
          <w:sz w:val="24"/>
          <w:szCs w:val="24"/>
          <w:highlight w:val="none"/>
        </w:rPr>
        <w:t>采用公开招标方式组织</w:t>
      </w:r>
      <w:r>
        <w:rPr>
          <w:rFonts w:hint="eastAsia" w:ascii="宋体" w:hAnsi="宋体" w:eastAsia="宋体" w:cs="宋体"/>
          <w:b/>
          <w:bCs/>
          <w:color w:val="auto"/>
          <w:sz w:val="24"/>
          <w:szCs w:val="24"/>
          <w:highlight w:val="none"/>
        </w:rPr>
        <w:t>福建省仙游县总医院数字化平板造影X线机（胃肠摄影X线机）、数字化双板X线（DR）机、乳腺钼靶X线机及移动DR(床旁拍片机)医疗设备采购项目</w:t>
      </w:r>
      <w:r>
        <w:rPr>
          <w:rFonts w:hint="eastAsia" w:ascii="宋体" w:hAnsi="宋体" w:eastAsia="宋体" w:cs="宋体"/>
          <w:color w:val="auto"/>
          <w:sz w:val="24"/>
          <w:szCs w:val="24"/>
          <w:highlight w:val="none"/>
        </w:rPr>
        <w:t>（以下简称：“本项目”）的政府采购活动，现邀请供应商参加投标。</w:t>
      </w:r>
    </w:p>
    <w:p>
      <w:pPr>
        <w:pStyle w:val="19"/>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、项目编号：</w:t>
      </w:r>
      <w:r>
        <w:rPr>
          <w:rFonts w:hint="eastAsia" w:ascii="宋体" w:hAnsi="宋体" w:eastAsia="宋体" w:cs="宋体"/>
          <w:b/>
          <w:color w:val="auto"/>
          <w:sz w:val="24"/>
          <w:szCs w:val="24"/>
          <w:highlight w:val="none"/>
          <w:lang w:eastAsia="zh-CN"/>
        </w:rPr>
        <w:t>JRZBPT（GK）2024-031</w:t>
      </w:r>
    </w:p>
    <w:p>
      <w:pPr>
        <w:pStyle w:val="19"/>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、预算金额、最高限价：详见《采购标的一览表》。</w:t>
      </w:r>
    </w:p>
    <w:p>
      <w:pPr>
        <w:pStyle w:val="19"/>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、招标内容及要求：详见《采购标的一览表》及招标文件第五章。</w:t>
      </w:r>
    </w:p>
    <w:p>
      <w:pPr>
        <w:pStyle w:val="19"/>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、需要落实的政府采购政策</w:t>
      </w:r>
    </w:p>
    <w:p>
      <w:pPr>
        <w:pStyle w:val="1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进口产品：不适用于本项目。</w:t>
      </w:r>
    </w:p>
    <w:p>
      <w:pPr>
        <w:pStyle w:val="1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节能产品：适用于本项目，执行财政部 发展改革委 生态环境部 市场监管总局印发《关于调整优化节能产品、环境标志产品政府采购执行机制的通知》(财库〔2019〕9号)</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《福建省财政厅关于加强政府绿色采购工作的通知》(闽财规〔2024〕3 号)</w:t>
      </w:r>
      <w:r>
        <w:rPr>
          <w:rFonts w:hint="eastAsia" w:ascii="宋体" w:hAnsi="宋体" w:eastAsia="宋体" w:cs="宋体"/>
          <w:color w:val="auto"/>
          <w:sz w:val="24"/>
          <w:szCs w:val="24"/>
          <w:highlight w:val="none"/>
        </w:rPr>
        <w:t>的规定。</w:t>
      </w:r>
    </w:p>
    <w:p>
      <w:pPr>
        <w:pStyle w:val="1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环境标志产品：适用于本项目，执行财政部 发展改革委 生态环境部 市场监管总局印发《关于调整优化节能产品、环境标志产品政府采购执行机制的通知》(财库〔2019〕9号)</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《福建省财政厅关于加强政府绿色采购工作的通知》(闽财规〔2024〕3 号)</w:t>
      </w:r>
      <w:r>
        <w:rPr>
          <w:rFonts w:hint="eastAsia" w:ascii="宋体" w:hAnsi="宋体" w:eastAsia="宋体" w:cs="宋体"/>
          <w:color w:val="auto"/>
          <w:sz w:val="24"/>
          <w:szCs w:val="24"/>
          <w:highlight w:val="none"/>
        </w:rPr>
        <w:t>的规定。</w:t>
      </w:r>
    </w:p>
    <w:p>
      <w:pPr>
        <w:pStyle w:val="1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促进中小企业发展的相关政策：</w:t>
      </w:r>
    </w:p>
    <w:p>
      <w:pPr>
        <w:pStyle w:val="1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1：不专门面向中小企业采购</w:t>
      </w:r>
    </w:p>
    <w:p>
      <w:pPr>
        <w:pStyle w:val="19"/>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、投标人的资格要求</w:t>
      </w:r>
    </w:p>
    <w:p>
      <w:pPr>
        <w:pStyle w:val="19"/>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.1法定条件：符合政府采购法第二十二条第一款规定的条件。</w:t>
      </w:r>
    </w:p>
    <w:p>
      <w:pPr>
        <w:pStyle w:val="19"/>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.2特定条件：</w:t>
      </w:r>
    </w:p>
    <w:p>
      <w:pPr>
        <w:pStyle w:val="1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1：</w:t>
      </w:r>
    </w:p>
    <w:tbl>
      <w:tblPr>
        <w:tblStyle w:val="14"/>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404"/>
        <w:gridCol w:w="765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94" w:type="pct"/>
          </w:tcPr>
          <w:p>
            <w:pPr>
              <w:pStyle w:val="19"/>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资格审查要求概况</w:t>
            </w:r>
          </w:p>
        </w:tc>
        <w:tc>
          <w:tcPr>
            <w:tcW w:w="3805" w:type="pct"/>
          </w:tcPr>
          <w:p>
            <w:pPr>
              <w:pStyle w:val="19"/>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94" w:type="pct"/>
          </w:tcPr>
          <w:p>
            <w:pPr>
              <w:pStyle w:val="19"/>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招标文件规定的其他资格证明文件（若有）</w:t>
            </w:r>
          </w:p>
        </w:tc>
        <w:tc>
          <w:tcPr>
            <w:tcW w:w="3805" w:type="pct"/>
          </w:tcPr>
          <w:p>
            <w:pPr>
              <w:pStyle w:val="19"/>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投货物若属于医疗器械管理范畴，按照国家《医疗器械监督管理条例》，应符合以下标准：①投标人为制造商的，须提供《医疗器械生产企业许可证》（进口产品除外）；投标人为经销商的，投标货物若属于三类医疗器械，须提供《医疗器械经营企业许可证》，投标货物若属于二类医疗器械，提供《医疗器械经营企业许可证》或提供《二类医疗器械的经营备案凭证》，投标货物若属于一类医疗器械，则无须提供此项；②投标货物属于《医疗器械监督管理条例》规定的第一类医疗器械产品应提供《第一类医疗器械备案凭证》，属于第二类、第三类医疗器械产品应取得《医疗器械注册证》(如有注册登记表应提供)。注：所有资格证明文件复印件须在有效期内。</w:t>
            </w:r>
          </w:p>
        </w:tc>
      </w:tr>
    </w:tbl>
    <w:p>
      <w:pPr>
        <w:pStyle w:val="19"/>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.3是否接受联合体投标：</w:t>
      </w:r>
    </w:p>
    <w:p>
      <w:pPr>
        <w:pStyle w:val="19"/>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1：不接受</w:t>
      </w:r>
    </w:p>
    <w:p>
      <w:pPr>
        <w:pStyle w:val="19"/>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※根据上述资格要求，投标文件中应提交的“投标人的资格及资信证明文件”详见招标文件第四章。</w:t>
      </w:r>
    </w:p>
    <w:p>
      <w:pPr>
        <w:pStyle w:val="19"/>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、招标文件的获取</w:t>
      </w:r>
    </w:p>
    <w:p>
      <w:pPr>
        <w:pStyle w:val="19"/>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.1招标文件获取期限：详见招标公告或更正公告，若不一致，以更正公告为准。</w:t>
      </w:r>
    </w:p>
    <w:p>
      <w:pPr>
        <w:pStyle w:val="19"/>
        <w:keepNext w:val="0"/>
        <w:keepLines w:val="0"/>
        <w:pageBreakBefore w:val="0"/>
        <w:widowControl/>
        <w:kinsoku/>
        <w:wordWrap w:val="0"/>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.2在招标文件获取期限内，供应商可直接从《莆田市公共资源交易中心》（http://ggzyjy.xzfwzx.putian.gov.cn/）上下载招标文件。</w:t>
      </w:r>
    </w:p>
    <w:p>
      <w:pPr>
        <w:pStyle w:val="19"/>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.3招标文件售价：0元。</w:t>
      </w:r>
    </w:p>
    <w:p>
      <w:pPr>
        <w:pStyle w:val="19"/>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、投标截止</w:t>
      </w:r>
    </w:p>
    <w:p>
      <w:pPr>
        <w:pStyle w:val="19"/>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.1、投标截止时间：详见招标公告或更正公告，若不一致，以更正公告为准。</w:t>
      </w:r>
    </w:p>
    <w:p>
      <w:pPr>
        <w:pStyle w:val="19"/>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.2、投标人应在投标截止时间前按照莆田市公共交易中心网上公开信息系统设定的操作流程将电子投标文件上传至莆田市公共交易中心网上公开信息系统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将</w:t>
      </w:r>
      <w:r>
        <w:rPr>
          <w:rFonts w:hint="eastAsia" w:ascii="宋体" w:hAnsi="宋体" w:eastAsia="宋体" w:cs="宋体"/>
          <w:color w:val="auto"/>
          <w:sz w:val="24"/>
          <w:szCs w:val="24"/>
          <w:highlight w:val="none"/>
          <w:lang w:val="en-US" w:eastAsia="zh-CN"/>
        </w:rPr>
        <w:t>纸质</w:t>
      </w: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若有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递交</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lang w:val="en-US" w:eastAsia="zh-CN"/>
        </w:rPr>
        <w:t>开标地点</w:t>
      </w:r>
      <w:r>
        <w:rPr>
          <w:rFonts w:hint="eastAsia" w:ascii="宋体" w:hAnsi="宋体" w:eastAsia="宋体" w:cs="宋体"/>
          <w:color w:val="auto"/>
          <w:sz w:val="24"/>
          <w:szCs w:val="24"/>
          <w:highlight w:val="none"/>
        </w:rPr>
        <w:t>，否则投标将被拒绝。</w:t>
      </w:r>
    </w:p>
    <w:p>
      <w:pPr>
        <w:pStyle w:val="19"/>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、开标时间及地点</w:t>
      </w:r>
    </w:p>
    <w:p>
      <w:pPr>
        <w:pStyle w:val="19"/>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详见招标公告或更正公告，若不一致，以更正公告为准。</w:t>
      </w:r>
    </w:p>
    <w:p>
      <w:pPr>
        <w:pStyle w:val="19"/>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、公告期限</w:t>
      </w:r>
    </w:p>
    <w:p>
      <w:pPr>
        <w:pStyle w:val="19"/>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.1、招标公告的公告期限：自《中国政府采购网》(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"http://www.ccgp.gov.cn" </w:instrText>
      </w:r>
      <w:r>
        <w:rPr>
          <w:rFonts w:hint="eastAsia" w:ascii="宋体" w:hAnsi="宋体" w:eastAsia="宋体" w:cs="宋体"/>
          <w:color w:val="auto"/>
          <w:sz w:val="24"/>
          <w:szCs w:val="24"/>
          <w:highlight w:val="none"/>
        </w:rPr>
        <w:fldChar w:fldCharType="separate"/>
      </w:r>
      <w:r>
        <w:rPr>
          <w:rStyle w:val="17"/>
          <w:rFonts w:hint="eastAsia" w:ascii="宋体" w:hAnsi="宋体" w:eastAsia="宋体" w:cs="宋体"/>
          <w:color w:val="auto"/>
          <w:sz w:val="24"/>
          <w:szCs w:val="24"/>
          <w:highlight w:val="none"/>
          <w:u w:val="none"/>
        </w:rPr>
        <w:t>http://www.ccgp.gov.cn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rPr>
        <w:t>《莆田市公共资源交易中心》</w:t>
      </w:r>
      <w:r>
        <w:rPr>
          <w:rStyle w:val="17"/>
          <w:rFonts w:hint="eastAsia" w:ascii="宋体" w:hAnsi="宋体" w:eastAsia="宋体" w:cs="宋体"/>
          <w:color w:val="auto"/>
          <w:sz w:val="24"/>
          <w:szCs w:val="24"/>
          <w:highlight w:val="none"/>
          <w:u w:val="none"/>
        </w:rPr>
        <w:t>（</w:t>
      </w:r>
      <w:r>
        <w:rPr>
          <w:rStyle w:val="17"/>
          <w:rFonts w:hint="eastAsia" w:ascii="宋体" w:hAnsi="宋体" w:eastAsia="宋体" w:cs="宋体"/>
          <w:color w:val="auto"/>
          <w:sz w:val="24"/>
          <w:szCs w:val="24"/>
          <w:highlight w:val="none"/>
          <w:u w:val="none"/>
          <w:lang w:eastAsia="zh-CN"/>
        </w:rPr>
        <w:t>http://ggzyjy.xzfwzx.putian.gov.cn/</w:t>
      </w:r>
      <w:r>
        <w:rPr>
          <w:rStyle w:val="17"/>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最先发布公告之日起5个工作日。</w:t>
      </w:r>
    </w:p>
    <w:p>
      <w:pPr>
        <w:pStyle w:val="19"/>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.2、招标文件公告期限：招标文件随同招标公告一并发布，其公告期限与招标公告的公告期限保持一致。</w:t>
      </w:r>
    </w:p>
    <w:p>
      <w:pPr>
        <w:pStyle w:val="19"/>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10.</w:t>
      </w:r>
      <w:r>
        <w:rPr>
          <w:rFonts w:hint="eastAsia" w:ascii="宋体" w:hAnsi="宋体" w:eastAsia="宋体" w:cs="宋体"/>
          <w:b/>
          <w:color w:val="auto"/>
          <w:sz w:val="24"/>
          <w:szCs w:val="24"/>
          <w:highlight w:val="none"/>
        </w:rPr>
        <w:t>投标须知</w:t>
      </w:r>
    </w:p>
    <w:p>
      <w:pPr>
        <w:pStyle w:val="19"/>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.1投标人应通过《莆田市公共交易中心网》的公开信息系统注册账号（免费注册），用于本项目报名及提交网上投标文件，否则投标将被拒绝。</w:t>
      </w:r>
    </w:p>
    <w:p>
      <w:pPr>
        <w:pStyle w:val="19"/>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.2投标人必须提交网上投标文件，未上传网上投标文件或上传的投标文件不全的其投标文件无效，在开标前提交纸质投标文件以供存档；评标</w:t>
      </w:r>
      <w:r>
        <w:rPr>
          <w:rFonts w:hint="eastAsia" w:ascii="宋体" w:hAnsi="宋体" w:eastAsia="宋体" w:cs="宋体"/>
          <w:color w:val="auto"/>
          <w:sz w:val="24"/>
          <w:szCs w:val="24"/>
          <w:highlight w:val="none"/>
        </w:rPr>
        <w:t>委员会只</w:t>
      </w:r>
      <w:r>
        <w:rPr>
          <w:rFonts w:hint="eastAsia" w:ascii="宋体" w:hAnsi="宋体" w:eastAsia="宋体" w:cs="宋体"/>
          <w:color w:val="auto"/>
          <w:sz w:val="24"/>
          <w:szCs w:val="24"/>
          <w:highlight w:val="none"/>
        </w:rPr>
        <w:t>对网上投标文件进行评审。如系统原因不能上传投标文件或开标评标时无法正常进行的，则由代理机构上报监管部门决定是否启用提交的纸质投标文件进行评标。</w:t>
      </w:r>
    </w:p>
    <w:p>
      <w:pPr>
        <w:pStyle w:val="19"/>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3投标人的电子版投标文件由商务部分、技术部分与报价部分组成，在网上投标时必须报价并上传商务部分、技术部分投标文件，商务部分、技术部分投标文件中不得有报价部分，并且投标人须带CA现场解密，否则为无效投标。</w:t>
      </w:r>
    </w:p>
    <w:p>
      <w:pPr>
        <w:pStyle w:val="19"/>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10.4</w:t>
      </w:r>
      <w:r>
        <w:rPr>
          <w:rFonts w:hint="eastAsia" w:ascii="宋体" w:hAnsi="宋体" w:eastAsia="宋体" w:cs="宋体"/>
          <w:color w:val="auto"/>
          <w:sz w:val="24"/>
          <w:szCs w:val="24"/>
          <w:highlight w:val="none"/>
        </w:rPr>
        <w:t>本项目采用网上电子投标方式进行，只接受莆田市公共资源中心会员库中已审核通过会员的投标，未入库的潜在投标人请及时办理入库手续，具体操作详见“莆田市公共资源交易中心网-办事指南-供应商操作手册”。网上投标技术问题，若有疑问，可咨询电子招投标平台：江苏国泰新点软件有限公司（咨询电话：0594-2221219）。</w:t>
      </w:r>
    </w:p>
    <w:p>
      <w:pPr>
        <w:pStyle w:val="19"/>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11、采购人：</w:t>
      </w:r>
      <w:r>
        <w:rPr>
          <w:rFonts w:hint="eastAsia" w:ascii="宋体" w:hAnsi="宋体" w:eastAsia="宋体" w:cs="宋体"/>
          <w:b/>
          <w:color w:val="auto"/>
          <w:sz w:val="24"/>
          <w:szCs w:val="24"/>
          <w:highlight w:val="none"/>
          <w:lang w:eastAsia="zh-CN"/>
        </w:rPr>
        <w:t>福建省仙游县总医院</w:t>
      </w:r>
    </w:p>
    <w:p>
      <w:pPr>
        <w:pStyle w:val="1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仙游县鲤城镇八二五大街910号</w:t>
      </w:r>
    </w:p>
    <w:p>
      <w:pPr>
        <w:pStyle w:val="1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lang w:eastAsia="zh-CN"/>
        </w:rPr>
        <w:t>351100</w:t>
      </w:r>
    </w:p>
    <w:p>
      <w:pPr>
        <w:pStyle w:val="1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颜先生</w:t>
      </w:r>
    </w:p>
    <w:p>
      <w:pPr>
        <w:pStyle w:val="1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eastAsia="zh-CN"/>
        </w:rPr>
        <w:t>0594-8292503</w:t>
      </w:r>
    </w:p>
    <w:p>
      <w:pPr>
        <w:pStyle w:val="19"/>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12、代理机构：</w:t>
      </w:r>
      <w:r>
        <w:rPr>
          <w:rFonts w:hint="eastAsia" w:ascii="宋体" w:hAnsi="宋体" w:eastAsia="宋体" w:cs="宋体"/>
          <w:b/>
          <w:color w:val="auto"/>
          <w:sz w:val="24"/>
          <w:szCs w:val="24"/>
          <w:highlight w:val="none"/>
          <w:lang w:eastAsia="zh-CN"/>
        </w:rPr>
        <w:t>福建吉瑞招标代理有限公司</w:t>
      </w:r>
    </w:p>
    <w:p>
      <w:pPr>
        <w:pStyle w:val="19"/>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福建省莆田市城厢区龙桥街道福兴路521弄2号楼1梯201、202室</w:t>
      </w:r>
    </w:p>
    <w:p>
      <w:pPr>
        <w:pStyle w:val="19"/>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lang w:eastAsia="zh-CN"/>
        </w:rPr>
        <w:t>351100</w:t>
      </w:r>
    </w:p>
    <w:p>
      <w:pPr>
        <w:pStyle w:val="19"/>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联系人：郑女士</w:t>
      </w:r>
    </w:p>
    <w:p>
      <w:pPr>
        <w:pStyle w:val="19"/>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eastAsia="zh-CN"/>
        </w:rPr>
        <w:t>17705940968</w:t>
      </w:r>
    </w:p>
    <w:p>
      <w:pPr>
        <w:pStyle w:val="19"/>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lang w:eastAsia="zh-CN"/>
        </w:rPr>
      </w:pPr>
    </w:p>
    <w:p>
      <w:pPr>
        <w:pStyle w:val="19"/>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附1：账户信息</w:t>
      </w:r>
    </w:p>
    <w:tbl>
      <w:tblPr>
        <w:tblStyle w:val="14"/>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5000" w:type="pct"/>
          </w:tcPr>
          <w:p>
            <w:pPr>
              <w:pStyle w:val="19"/>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5000" w:type="pct"/>
          </w:tcPr>
          <w:p>
            <w:pPr>
              <w:pStyle w:val="19"/>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开户名称</w:t>
            </w:r>
            <w:r>
              <w:rPr>
                <w:rFonts w:hint="eastAsia" w:ascii="宋体" w:hAnsi="宋体" w:eastAsia="宋体" w:cs="宋体"/>
                <w:color w:val="auto"/>
                <w:sz w:val="24"/>
                <w:szCs w:val="24"/>
                <w:highlight w:val="none"/>
                <w:lang w:eastAsia="zh-CN"/>
              </w:rPr>
              <w:t>：福建吉瑞招标代理有限公司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5000" w:type="pct"/>
          </w:tcPr>
          <w:p>
            <w:pPr>
              <w:pStyle w:val="19"/>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lang w:eastAsia="zh-CN"/>
              </w:rPr>
              <w:t>中国农业银行股份有限公司莆田市府支行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5000" w:type="pct"/>
          </w:tcPr>
          <w:p>
            <w:pPr>
              <w:pStyle w:val="19"/>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w:t>
            </w:r>
            <w:r>
              <w:rPr>
                <w:rFonts w:hint="eastAsia" w:ascii="宋体" w:hAnsi="宋体" w:eastAsia="宋体" w:cs="宋体"/>
                <w:color w:val="auto"/>
                <w:sz w:val="24"/>
                <w:szCs w:val="24"/>
                <w:highlight w:val="none"/>
                <w:lang w:eastAsia="zh-CN"/>
              </w:rPr>
              <w:t>1344 1501 0400 0613 6</w:t>
            </w:r>
            <w:r>
              <w:rPr>
                <w:rFonts w:hint="eastAsia" w:ascii="宋体" w:hAnsi="宋体" w:eastAsia="宋体" w:cs="宋体"/>
                <w:color w:val="auto"/>
                <w:sz w:val="24"/>
                <w:szCs w:val="24"/>
                <w:highlight w:val="none"/>
              </w:rPr>
              <w:t>。供应商应按照所投</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5000" w:type="pct"/>
          </w:tcPr>
          <w:p>
            <w:pPr>
              <w:pStyle w:val="19"/>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5000" w:type="pct"/>
          </w:tcPr>
          <w:p>
            <w:pPr>
              <w:pStyle w:val="19"/>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1、投标人应认真核对账户信息，将投标保证金汇入以上账户，并自行承担因汇错投标保证金而产生的一切后果。</w:t>
            </w:r>
          </w:p>
          <w:p>
            <w:pPr>
              <w:pStyle w:val="19"/>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2、投标人在转账或电汇的凭证上应按照以下格式注明，以便核对：“（项目编号：***）的投标保证金”。</w:t>
            </w:r>
          </w:p>
        </w:tc>
      </w:tr>
    </w:tbl>
    <w:p>
      <w:pPr>
        <w:pStyle w:val="19"/>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附2：采购标的一览表</w:t>
      </w:r>
    </w:p>
    <w:p>
      <w:pPr>
        <w:pStyle w:val="1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1：</w:t>
      </w:r>
    </w:p>
    <w:p>
      <w:pPr>
        <w:pStyle w:val="1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 xml:space="preserve">预算金额（元）: </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0000.00</w:t>
      </w:r>
    </w:p>
    <w:p>
      <w:pPr>
        <w:pStyle w:val="1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 xml:space="preserve">最高限价（元）: </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0000.00</w:t>
      </w:r>
    </w:p>
    <w:p>
      <w:pPr>
        <w:pStyle w:val="1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 xml:space="preserve">保证金金额（元）: </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00.00</w:t>
      </w:r>
    </w:p>
    <w:tbl>
      <w:tblPr>
        <w:tblStyle w:val="14"/>
        <w:tblW w:w="498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0"/>
        <w:gridCol w:w="2053"/>
        <w:gridCol w:w="1076"/>
        <w:gridCol w:w="2045"/>
        <w:gridCol w:w="1211"/>
        <w:gridCol w:w="1251"/>
        <w:gridCol w:w="13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522" w:type="pct"/>
            <w:vAlign w:val="center"/>
          </w:tcPr>
          <w:p>
            <w:pPr>
              <w:pStyle w:val="19"/>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品目</w:t>
            </w:r>
            <w:r>
              <w:rPr>
                <w:rFonts w:hint="eastAsia" w:ascii="宋体" w:hAnsi="宋体" w:eastAsia="宋体" w:cs="宋体"/>
                <w:color w:val="auto"/>
                <w:sz w:val="24"/>
                <w:szCs w:val="24"/>
                <w:highlight w:val="none"/>
              </w:rPr>
              <w:t>号</w:t>
            </w:r>
          </w:p>
        </w:tc>
        <w:tc>
          <w:tcPr>
            <w:tcW w:w="1021" w:type="pct"/>
            <w:vAlign w:val="center"/>
          </w:tcPr>
          <w:p>
            <w:pPr>
              <w:pStyle w:val="19"/>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标的名称</w:t>
            </w:r>
          </w:p>
        </w:tc>
        <w:tc>
          <w:tcPr>
            <w:tcW w:w="535" w:type="pct"/>
            <w:vAlign w:val="center"/>
          </w:tcPr>
          <w:p>
            <w:pPr>
              <w:pStyle w:val="19"/>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017" w:type="pct"/>
            <w:vAlign w:val="center"/>
          </w:tcPr>
          <w:p>
            <w:pPr>
              <w:pStyle w:val="19"/>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标的金额 （元）</w:t>
            </w:r>
          </w:p>
        </w:tc>
        <w:tc>
          <w:tcPr>
            <w:tcW w:w="602" w:type="pct"/>
            <w:vAlign w:val="center"/>
          </w:tcPr>
          <w:p>
            <w:pPr>
              <w:pStyle w:val="19"/>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622" w:type="pct"/>
            <w:vAlign w:val="center"/>
          </w:tcPr>
          <w:p>
            <w:pPr>
              <w:pStyle w:val="19"/>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所属行业</w:t>
            </w:r>
          </w:p>
        </w:tc>
        <w:tc>
          <w:tcPr>
            <w:tcW w:w="677" w:type="pct"/>
            <w:vAlign w:val="center"/>
          </w:tcPr>
          <w:p>
            <w:pPr>
              <w:pStyle w:val="19"/>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522" w:type="pct"/>
            <w:vAlign w:val="center"/>
          </w:tcPr>
          <w:p>
            <w:pPr>
              <w:pStyle w:val="19"/>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21" w:type="pct"/>
            <w:vAlign w:val="center"/>
          </w:tcPr>
          <w:p>
            <w:pPr>
              <w:pStyle w:val="19"/>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数字化平板造影X线机（胃肠摄影X线机）</w:t>
            </w:r>
          </w:p>
        </w:tc>
        <w:tc>
          <w:tcPr>
            <w:tcW w:w="535" w:type="pct"/>
            <w:vAlign w:val="center"/>
          </w:tcPr>
          <w:p>
            <w:pPr>
              <w:pStyle w:val="19"/>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c>
          <w:tcPr>
            <w:tcW w:w="1017" w:type="pct"/>
            <w:vAlign w:val="center"/>
          </w:tcPr>
          <w:p>
            <w:pPr>
              <w:pStyle w:val="19"/>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1400</w:t>
            </w:r>
            <w:r>
              <w:rPr>
                <w:rFonts w:hint="eastAsia" w:ascii="宋体" w:hAnsi="宋体" w:eastAsia="宋体" w:cs="宋体"/>
                <w:color w:val="auto"/>
                <w:sz w:val="24"/>
                <w:szCs w:val="24"/>
                <w:highlight w:val="none"/>
              </w:rPr>
              <w:t>000.00</w:t>
            </w:r>
          </w:p>
        </w:tc>
        <w:tc>
          <w:tcPr>
            <w:tcW w:w="602" w:type="pct"/>
            <w:vAlign w:val="center"/>
          </w:tcPr>
          <w:p>
            <w:pPr>
              <w:pStyle w:val="19"/>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622" w:type="pct"/>
            <w:vAlign w:val="center"/>
          </w:tcPr>
          <w:p>
            <w:pPr>
              <w:pStyle w:val="19"/>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677" w:type="pct"/>
            <w:vAlign w:val="center"/>
          </w:tcPr>
          <w:p>
            <w:pPr>
              <w:pStyle w:val="19"/>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522" w:type="pct"/>
            <w:vAlign w:val="center"/>
          </w:tcPr>
          <w:p>
            <w:pPr>
              <w:pStyle w:val="19"/>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021" w:type="pct"/>
            <w:vAlign w:val="center"/>
          </w:tcPr>
          <w:p>
            <w:pPr>
              <w:pStyle w:val="19"/>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数字化双板X线（DR）机</w:t>
            </w:r>
          </w:p>
        </w:tc>
        <w:tc>
          <w:tcPr>
            <w:tcW w:w="535" w:type="pct"/>
            <w:vAlign w:val="center"/>
          </w:tcPr>
          <w:p>
            <w:pPr>
              <w:pStyle w:val="19"/>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c>
          <w:tcPr>
            <w:tcW w:w="1017" w:type="pct"/>
            <w:vAlign w:val="center"/>
          </w:tcPr>
          <w:p>
            <w:pPr>
              <w:pStyle w:val="19"/>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2250</w:t>
            </w:r>
            <w:r>
              <w:rPr>
                <w:rFonts w:hint="eastAsia" w:ascii="宋体" w:hAnsi="宋体" w:eastAsia="宋体" w:cs="宋体"/>
                <w:color w:val="auto"/>
                <w:sz w:val="24"/>
                <w:szCs w:val="24"/>
                <w:highlight w:val="none"/>
              </w:rPr>
              <w:t>000.00</w:t>
            </w:r>
          </w:p>
        </w:tc>
        <w:tc>
          <w:tcPr>
            <w:tcW w:w="602" w:type="pct"/>
            <w:vAlign w:val="center"/>
          </w:tcPr>
          <w:p>
            <w:pPr>
              <w:pStyle w:val="19"/>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622" w:type="pct"/>
            <w:vAlign w:val="center"/>
          </w:tcPr>
          <w:p>
            <w:pPr>
              <w:pStyle w:val="19"/>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677" w:type="pct"/>
            <w:vAlign w:val="center"/>
          </w:tcPr>
          <w:p>
            <w:pPr>
              <w:pStyle w:val="19"/>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522" w:type="pct"/>
            <w:vAlign w:val="center"/>
          </w:tcPr>
          <w:p>
            <w:pPr>
              <w:pStyle w:val="19"/>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021" w:type="pct"/>
            <w:vAlign w:val="center"/>
          </w:tcPr>
          <w:p>
            <w:pPr>
              <w:pStyle w:val="19"/>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乳腺钼靶X线机</w:t>
            </w:r>
          </w:p>
        </w:tc>
        <w:tc>
          <w:tcPr>
            <w:tcW w:w="535" w:type="pct"/>
            <w:vAlign w:val="center"/>
          </w:tcPr>
          <w:p>
            <w:pPr>
              <w:pStyle w:val="19"/>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c>
          <w:tcPr>
            <w:tcW w:w="1017" w:type="pct"/>
            <w:vAlign w:val="center"/>
          </w:tcPr>
          <w:p>
            <w:pPr>
              <w:pStyle w:val="19"/>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1450</w:t>
            </w:r>
            <w:r>
              <w:rPr>
                <w:rFonts w:hint="eastAsia" w:ascii="宋体" w:hAnsi="宋体" w:eastAsia="宋体" w:cs="宋体"/>
                <w:color w:val="auto"/>
                <w:sz w:val="24"/>
                <w:szCs w:val="24"/>
                <w:highlight w:val="none"/>
              </w:rPr>
              <w:t>000.00</w:t>
            </w:r>
          </w:p>
        </w:tc>
        <w:tc>
          <w:tcPr>
            <w:tcW w:w="602" w:type="pct"/>
            <w:vAlign w:val="center"/>
          </w:tcPr>
          <w:p>
            <w:pPr>
              <w:pStyle w:val="19"/>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622" w:type="pct"/>
            <w:vAlign w:val="center"/>
          </w:tcPr>
          <w:p>
            <w:pPr>
              <w:pStyle w:val="19"/>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677" w:type="pct"/>
            <w:vAlign w:val="center"/>
          </w:tcPr>
          <w:p>
            <w:pPr>
              <w:pStyle w:val="19"/>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522" w:type="pct"/>
            <w:vAlign w:val="center"/>
          </w:tcPr>
          <w:p>
            <w:pPr>
              <w:pStyle w:val="19"/>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021" w:type="pct"/>
            <w:vAlign w:val="center"/>
          </w:tcPr>
          <w:p>
            <w:pPr>
              <w:pStyle w:val="19"/>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移动DR(床旁拍片机)</w:t>
            </w:r>
          </w:p>
        </w:tc>
        <w:tc>
          <w:tcPr>
            <w:tcW w:w="535" w:type="pct"/>
            <w:vAlign w:val="center"/>
          </w:tcPr>
          <w:p>
            <w:pPr>
              <w:pStyle w:val="19"/>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c>
          <w:tcPr>
            <w:tcW w:w="1017" w:type="pct"/>
            <w:vAlign w:val="center"/>
          </w:tcPr>
          <w:p>
            <w:pPr>
              <w:pStyle w:val="19"/>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920</w:t>
            </w:r>
            <w:r>
              <w:rPr>
                <w:rFonts w:hint="eastAsia" w:ascii="宋体" w:hAnsi="宋体" w:eastAsia="宋体" w:cs="宋体"/>
                <w:color w:val="auto"/>
                <w:sz w:val="24"/>
                <w:szCs w:val="24"/>
                <w:highlight w:val="none"/>
              </w:rPr>
              <w:t>000.00</w:t>
            </w:r>
          </w:p>
        </w:tc>
        <w:tc>
          <w:tcPr>
            <w:tcW w:w="602" w:type="pct"/>
            <w:vAlign w:val="center"/>
          </w:tcPr>
          <w:p>
            <w:pPr>
              <w:pStyle w:val="19"/>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622" w:type="pct"/>
            <w:vAlign w:val="center"/>
          </w:tcPr>
          <w:p>
            <w:pPr>
              <w:pStyle w:val="19"/>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677" w:type="pct"/>
            <w:vAlign w:val="center"/>
          </w:tcPr>
          <w:p>
            <w:pPr>
              <w:pStyle w:val="19"/>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bl>
    <w:p>
      <w:pPr>
        <w:pStyle w:val="19"/>
        <w:rPr>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19"/>
        <w:keepNext w:val="0"/>
        <w:keepLines w:val="0"/>
        <w:pageBreakBefore w:val="0"/>
        <w:widowControl/>
        <w:kinsoku/>
        <w:wordWrap/>
        <w:overflowPunct/>
        <w:topLinePunct w:val="0"/>
        <w:autoSpaceDE/>
        <w:autoSpaceDN/>
        <w:bidi w:val="0"/>
        <w:adjustRightInd/>
        <w:snapToGrid/>
        <w:spacing w:line="400" w:lineRule="exact"/>
        <w:jc w:val="center"/>
        <w:textAlignment w:val="auto"/>
        <w:outlineLvl w:val="1"/>
        <w:rPr>
          <w:color w:val="auto"/>
          <w:highlight w:val="none"/>
        </w:rPr>
      </w:pPr>
      <w:r>
        <w:rPr>
          <w:b/>
          <w:color w:val="auto"/>
          <w:sz w:val="36"/>
          <w:highlight w:val="none"/>
        </w:rPr>
        <w:t>第二章</w:t>
      </w:r>
      <w:r>
        <w:rPr>
          <w:rFonts w:hint="eastAsia"/>
          <w:b/>
          <w:color w:val="auto"/>
          <w:sz w:val="36"/>
          <w:highlight w:val="none"/>
          <w:lang w:val="en-US" w:eastAsia="zh-CN"/>
        </w:rPr>
        <w:t xml:space="preserve">  </w:t>
      </w:r>
      <w:r>
        <w:rPr>
          <w:b/>
          <w:color w:val="auto"/>
          <w:sz w:val="36"/>
          <w:highlight w:val="none"/>
        </w:rPr>
        <w:t>投标人须知前附表</w:t>
      </w:r>
    </w:p>
    <w:p>
      <w:pPr>
        <w:pStyle w:val="19"/>
        <w:keepNext w:val="0"/>
        <w:keepLines w:val="0"/>
        <w:pageBreakBefore w:val="0"/>
        <w:widowControl/>
        <w:kinsoku/>
        <w:wordWrap/>
        <w:overflowPunct/>
        <w:topLinePunct w:val="0"/>
        <w:autoSpaceDE/>
        <w:autoSpaceDN/>
        <w:bidi w:val="0"/>
        <w:adjustRightInd/>
        <w:snapToGrid/>
        <w:spacing w:line="400" w:lineRule="exact"/>
        <w:jc w:val="center"/>
        <w:textAlignment w:val="auto"/>
        <w:outlineLvl w:val="2"/>
        <w:rPr>
          <w:color w:val="auto"/>
          <w:highlight w:val="none"/>
        </w:rPr>
      </w:pPr>
      <w:r>
        <w:rPr>
          <w:b/>
          <w:color w:val="auto"/>
          <w:sz w:val="28"/>
          <w:highlight w:val="none"/>
        </w:rPr>
        <w:t>一、投标人须知前附表1</w:t>
      </w:r>
    </w:p>
    <w:tbl>
      <w:tblPr>
        <w:tblStyle w:val="14"/>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9"/>
        <w:gridCol w:w="1372"/>
        <w:gridCol w:w="794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5000" w:type="pct"/>
            <w:gridSpan w:val="3"/>
          </w:tcPr>
          <w:p>
            <w:pPr>
              <w:pStyle w:val="19"/>
              <w:keepNext w:val="0"/>
              <w:keepLines w:val="0"/>
              <w:pageBreakBefore w:val="0"/>
              <w:widowControl/>
              <w:kinsoku/>
              <w:overflowPunct/>
              <w:topLinePunct w:val="0"/>
              <w:autoSpaceDE/>
              <w:autoSpaceDN/>
              <w:bidi w:val="0"/>
              <w:adjustRightInd/>
              <w:snapToGrid/>
              <w:spacing w:line="33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77" w:type="pct"/>
            <w:vAlign w:val="center"/>
          </w:tcPr>
          <w:p>
            <w:pPr>
              <w:pStyle w:val="19"/>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80" w:type="pct"/>
            <w:vAlign w:val="center"/>
          </w:tcPr>
          <w:p>
            <w:pPr>
              <w:pStyle w:val="19"/>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招标文件（第三章）</w:t>
            </w:r>
          </w:p>
        </w:tc>
        <w:tc>
          <w:tcPr>
            <w:tcW w:w="3941" w:type="pct"/>
            <w:vAlign w:val="center"/>
          </w:tcPr>
          <w:p>
            <w:pPr>
              <w:pStyle w:val="19"/>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77" w:type="pct"/>
            <w:vAlign w:val="center"/>
          </w:tcPr>
          <w:p>
            <w:pPr>
              <w:pStyle w:val="19"/>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80" w:type="pct"/>
            <w:vAlign w:val="center"/>
          </w:tcPr>
          <w:p>
            <w:pPr>
              <w:pStyle w:val="19"/>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p>
        </w:tc>
        <w:tc>
          <w:tcPr>
            <w:tcW w:w="3941" w:type="pct"/>
          </w:tcPr>
          <w:p>
            <w:pPr>
              <w:pStyle w:val="19"/>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是否组织现场考察或召开开标前答疑会：</w:t>
            </w:r>
          </w:p>
          <w:p>
            <w:pPr>
              <w:pStyle w:val="19"/>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77" w:type="pct"/>
            <w:vAlign w:val="center"/>
          </w:tcPr>
          <w:p>
            <w:pPr>
              <w:pStyle w:val="19"/>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80" w:type="pct"/>
            <w:vAlign w:val="center"/>
          </w:tcPr>
          <w:p>
            <w:pPr>
              <w:pStyle w:val="19"/>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w:t>
            </w:r>
          </w:p>
        </w:tc>
        <w:tc>
          <w:tcPr>
            <w:tcW w:w="3941" w:type="pct"/>
          </w:tcPr>
          <w:p>
            <w:pPr>
              <w:pStyle w:val="19"/>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投标文件的份数：</w:t>
            </w:r>
          </w:p>
          <w:p>
            <w:pPr>
              <w:pStyle w:val="19"/>
              <w:keepNext w:val="0"/>
              <w:keepLines w:val="0"/>
              <w:pageBreakBefore w:val="0"/>
              <w:widowControl/>
              <w:numPr>
                <w:ilvl w:val="0"/>
                <w:numId w:val="1"/>
              </w:numPr>
              <w:kinsoku/>
              <w:overflowPunct/>
              <w:topLinePunct w:val="0"/>
              <w:autoSpaceDE/>
              <w:autoSpaceDN/>
              <w:bidi w:val="0"/>
              <w:adjustRightInd/>
              <w:snapToGrid/>
              <w:spacing w:line="330" w:lineRule="exact"/>
              <w:jc w:val="left"/>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纸质投标文件：正本</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rPr>
              <w:t>份，副本</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rPr>
              <w:t>份</w:t>
            </w:r>
            <w:r>
              <w:rPr>
                <w:rFonts w:hint="eastAsia" w:ascii="宋体" w:hAnsi="宋体" w:cs="宋体"/>
                <w:color w:val="auto"/>
                <w:sz w:val="24"/>
                <w:highlight w:val="none"/>
                <w:lang w:eastAsia="zh-CN"/>
              </w:rPr>
              <w:t>；</w:t>
            </w:r>
          </w:p>
          <w:p>
            <w:pPr>
              <w:pStyle w:val="19"/>
              <w:keepNext w:val="0"/>
              <w:keepLines w:val="0"/>
              <w:pageBreakBefore w:val="0"/>
              <w:widowControl/>
              <w:numPr>
                <w:ilvl w:val="0"/>
                <w:numId w:val="1"/>
              </w:numPr>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（2）可读介质（</w:t>
            </w:r>
            <w:r>
              <w:rPr>
                <w:rFonts w:hint="eastAsia" w:ascii="宋体" w:hAnsi="宋体" w:eastAsia="宋体" w:cs="宋体"/>
                <w:color w:val="auto"/>
                <w:sz w:val="24"/>
                <w:szCs w:val="24"/>
                <w:highlight w:val="none"/>
                <w:lang w:eastAsia="zh-CN"/>
              </w:rPr>
              <w:t>U盘</w:t>
            </w:r>
            <w:r>
              <w:rPr>
                <w:rFonts w:hint="eastAsia" w:ascii="宋体" w:hAnsi="宋体" w:eastAsia="宋体" w:cs="宋体"/>
                <w:color w:val="auto"/>
                <w:sz w:val="24"/>
                <w:szCs w:val="24"/>
                <w:highlight w:val="none"/>
              </w:rPr>
              <w:t>）1份：投标人应将其上传至莆田市公共交易中心网上公开信息系统的电子投标文件在该可读介质中另存</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份。</w:t>
            </w:r>
          </w:p>
          <w:p>
            <w:pPr>
              <w:pStyle w:val="19"/>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77" w:type="pct"/>
            <w:vAlign w:val="center"/>
          </w:tcPr>
          <w:p>
            <w:pPr>
              <w:pStyle w:val="19"/>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80" w:type="pct"/>
            <w:vAlign w:val="center"/>
          </w:tcPr>
          <w:p>
            <w:pPr>
              <w:pStyle w:val="19"/>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10.7-（1）</w:t>
            </w:r>
          </w:p>
        </w:tc>
        <w:tc>
          <w:tcPr>
            <w:tcW w:w="3941" w:type="pct"/>
          </w:tcPr>
          <w:p>
            <w:pPr>
              <w:pStyle w:val="19"/>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将本项目的非主体、非关键性工作进行分包：</w:t>
            </w:r>
          </w:p>
          <w:p>
            <w:pPr>
              <w:pStyle w:val="19"/>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77" w:type="pct"/>
            <w:vAlign w:val="center"/>
          </w:tcPr>
          <w:p>
            <w:pPr>
              <w:pStyle w:val="19"/>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80" w:type="pct"/>
            <w:vAlign w:val="center"/>
          </w:tcPr>
          <w:p>
            <w:pPr>
              <w:pStyle w:val="19"/>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10.8-（1）</w:t>
            </w:r>
          </w:p>
        </w:tc>
        <w:tc>
          <w:tcPr>
            <w:tcW w:w="3941" w:type="pct"/>
          </w:tcPr>
          <w:p>
            <w:pPr>
              <w:pStyle w:val="19"/>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投标有效期：投标截止时间起90个日历日。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77" w:type="pct"/>
            <w:vAlign w:val="center"/>
          </w:tcPr>
          <w:p>
            <w:pPr>
              <w:pStyle w:val="19"/>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80" w:type="pct"/>
            <w:vAlign w:val="center"/>
          </w:tcPr>
          <w:p>
            <w:pPr>
              <w:pStyle w:val="19"/>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3941" w:type="pct"/>
          </w:tcPr>
          <w:p>
            <w:pPr>
              <w:pStyle w:val="19"/>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确定中标候选人名单：</w:t>
            </w:r>
          </w:p>
          <w:p>
            <w:pPr>
              <w:pStyle w:val="19"/>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77" w:type="pct"/>
            <w:vAlign w:val="center"/>
          </w:tcPr>
          <w:p>
            <w:pPr>
              <w:pStyle w:val="19"/>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80" w:type="pct"/>
            <w:vAlign w:val="center"/>
          </w:tcPr>
          <w:p>
            <w:pPr>
              <w:pStyle w:val="19"/>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p>
        </w:tc>
        <w:tc>
          <w:tcPr>
            <w:tcW w:w="3941" w:type="pct"/>
          </w:tcPr>
          <w:p>
            <w:pPr>
              <w:pStyle w:val="19"/>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的确定（以</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为单位）：</w:t>
            </w:r>
          </w:p>
          <w:p>
            <w:pPr>
              <w:pStyle w:val="19"/>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采购人应在政府采购招投标管理办法规定的时限内确定</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w:t>
            </w:r>
          </w:p>
          <w:p>
            <w:pPr>
              <w:pStyle w:val="19"/>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（2）若出现中标候选人并列情形，则按照下列方式确定</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w:t>
            </w:r>
          </w:p>
          <w:p>
            <w:pPr>
              <w:pStyle w:val="19"/>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①招标文件规定的方式：</w:t>
            </w:r>
          </w:p>
          <w:p>
            <w:pPr>
              <w:pStyle w:val="19"/>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若有相同的最高得分且投标报价相同的，则按技术部分得分从高到低顺序进行排列，技术部分得分最高的投标人将被排序在前。</w:t>
            </w:r>
          </w:p>
          <w:p>
            <w:pPr>
              <w:pStyle w:val="19"/>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②若本款第①点规定方式为“无”，则按照下列方式确定：</w:t>
            </w:r>
          </w:p>
          <w:p>
            <w:pPr>
              <w:pStyle w:val="19"/>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p>
            <w:pPr>
              <w:pStyle w:val="19"/>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③若本款第①、②点规定方式均为“无”，则按照下列方式确定：随机抽取。</w:t>
            </w:r>
          </w:p>
          <w:p>
            <w:pPr>
              <w:pStyle w:val="19"/>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（3）本项目确定的</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家数：</w:t>
            </w:r>
          </w:p>
          <w:p>
            <w:pPr>
              <w:pStyle w:val="19"/>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77" w:type="pct"/>
            <w:vAlign w:val="center"/>
          </w:tcPr>
          <w:p>
            <w:pPr>
              <w:pStyle w:val="19"/>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80" w:type="pct"/>
            <w:vAlign w:val="center"/>
          </w:tcPr>
          <w:p>
            <w:pPr>
              <w:pStyle w:val="19"/>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3941" w:type="pct"/>
          </w:tcPr>
          <w:p>
            <w:pPr>
              <w:pStyle w:val="19"/>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合同签订时限：自中标通知书发出之日起30个日历日内。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77" w:type="pct"/>
            <w:vAlign w:val="center"/>
          </w:tcPr>
          <w:p>
            <w:pPr>
              <w:pStyle w:val="19"/>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80" w:type="pct"/>
            <w:vAlign w:val="center"/>
          </w:tcPr>
          <w:p>
            <w:pPr>
              <w:pStyle w:val="19"/>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15.1-（2）</w:t>
            </w:r>
          </w:p>
        </w:tc>
        <w:tc>
          <w:tcPr>
            <w:tcW w:w="3941" w:type="pct"/>
          </w:tcPr>
          <w:p>
            <w:pPr>
              <w:pStyle w:val="19"/>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77" w:type="pct"/>
            <w:vAlign w:val="center"/>
          </w:tcPr>
          <w:p>
            <w:pPr>
              <w:pStyle w:val="19"/>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680" w:type="pct"/>
            <w:vAlign w:val="center"/>
          </w:tcPr>
          <w:p>
            <w:pPr>
              <w:pStyle w:val="19"/>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w:t>
            </w:r>
          </w:p>
        </w:tc>
        <w:tc>
          <w:tcPr>
            <w:tcW w:w="3941" w:type="pct"/>
          </w:tcPr>
          <w:p>
            <w:pPr>
              <w:pStyle w:val="19"/>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招标文件的质疑</w:t>
            </w:r>
          </w:p>
          <w:p>
            <w:pPr>
              <w:pStyle w:val="19"/>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（1）潜在投标人可在质疑时效期间内对招标文件以书面形式提出质疑。</w:t>
            </w:r>
          </w:p>
          <w:p>
            <w:pPr>
              <w:pStyle w:val="19"/>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（2）质疑时效期间：应在依法获取招标文件之日起7个工作日内向</w:t>
            </w:r>
            <w:r>
              <w:rPr>
                <w:rFonts w:hint="eastAsia" w:ascii="宋体" w:hAnsi="宋体" w:eastAsia="宋体" w:cs="宋体"/>
                <w:color w:val="auto"/>
                <w:sz w:val="24"/>
                <w:szCs w:val="24"/>
                <w:highlight w:val="none"/>
                <w:lang w:eastAsia="zh-CN"/>
              </w:rPr>
              <w:t>福建吉瑞招标代理有限公司</w:t>
            </w:r>
            <w:r>
              <w:rPr>
                <w:rFonts w:hint="eastAsia" w:ascii="宋体" w:hAnsi="宋体" w:eastAsia="宋体" w:cs="宋体"/>
                <w:color w:val="auto"/>
                <w:sz w:val="24"/>
                <w:szCs w:val="24"/>
                <w:highlight w:val="none"/>
              </w:rPr>
              <w:t>提出，依法获取招标文件的时间以</w:t>
            </w:r>
            <w:r>
              <w:rPr>
                <w:rFonts w:hint="eastAsia" w:ascii="宋体" w:hAnsi="宋体" w:eastAsia="宋体" w:cs="宋体"/>
                <w:color w:val="auto"/>
                <w:sz w:val="24"/>
                <w:szCs w:val="24"/>
                <w:highlight w:val="none"/>
              </w:rPr>
              <w:t>莆田市公共交易中心网</w:t>
            </w:r>
            <w:r>
              <w:rPr>
                <w:rFonts w:hint="eastAsia" w:ascii="宋体" w:hAnsi="宋体" w:eastAsia="宋体" w:cs="宋体"/>
                <w:color w:val="auto"/>
                <w:sz w:val="24"/>
                <w:szCs w:val="24"/>
                <w:highlight w:val="none"/>
              </w:rPr>
              <w:t>上公开信息系统记载的为准。</w:t>
            </w:r>
          </w:p>
          <w:p>
            <w:pPr>
              <w:pStyle w:val="19"/>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77" w:type="pct"/>
            <w:vAlign w:val="center"/>
          </w:tcPr>
          <w:p>
            <w:pPr>
              <w:pStyle w:val="19"/>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680" w:type="pct"/>
            <w:vAlign w:val="center"/>
          </w:tcPr>
          <w:p>
            <w:pPr>
              <w:pStyle w:val="19"/>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w:t>
            </w:r>
          </w:p>
        </w:tc>
        <w:tc>
          <w:tcPr>
            <w:tcW w:w="3941" w:type="pct"/>
          </w:tcPr>
          <w:p>
            <w:pPr>
              <w:pStyle w:val="19"/>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监督管理部门：仙游县卫健局、仙游县财政局</w:t>
            </w:r>
            <w:r>
              <w:rPr>
                <w:rFonts w:hint="eastAsia" w:ascii="宋体" w:hAnsi="宋体" w:eastAsia="宋体" w:cs="宋体"/>
                <w:color w:val="auto"/>
                <w:sz w:val="24"/>
                <w:szCs w:val="24"/>
                <w:highlight w:val="none"/>
              </w:rPr>
              <w:t>（仅限依法进行政府采购的货物或服务类项目）。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77" w:type="pct"/>
            <w:vAlign w:val="center"/>
          </w:tcPr>
          <w:p>
            <w:pPr>
              <w:pStyle w:val="19"/>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680" w:type="pct"/>
            <w:vAlign w:val="center"/>
          </w:tcPr>
          <w:p>
            <w:pPr>
              <w:pStyle w:val="19"/>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w:t>
            </w:r>
          </w:p>
        </w:tc>
        <w:tc>
          <w:tcPr>
            <w:tcW w:w="3941" w:type="pct"/>
          </w:tcPr>
          <w:p>
            <w:pPr>
              <w:pStyle w:val="19"/>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财政部和福建省财政厅指定的政府采购信息发布媒体（以下简称：“指定媒体”）：</w:t>
            </w:r>
          </w:p>
          <w:p>
            <w:pPr>
              <w:pStyle w:val="19"/>
              <w:keepNext w:val="0"/>
              <w:keepLines w:val="0"/>
              <w:pageBreakBefore w:val="0"/>
              <w:widowControl/>
              <w:kinsoku/>
              <w:wordWrap w:val="0"/>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（1）中国政府采购网，网址www.ccgp.gov.cn。</w:t>
            </w:r>
          </w:p>
          <w:p>
            <w:pPr>
              <w:pStyle w:val="19"/>
              <w:keepNext w:val="0"/>
              <w:keepLines w:val="0"/>
              <w:pageBreakBefore w:val="0"/>
              <w:widowControl/>
              <w:kinsoku/>
              <w:wordWrap w:val="0"/>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莆田市公共交易中心网</w:t>
            </w:r>
            <w:r>
              <w:rPr>
                <w:rFonts w:hint="eastAsia" w:ascii="宋体" w:hAnsi="宋体" w:eastAsia="宋体" w:cs="宋体"/>
                <w:color w:val="auto"/>
                <w:sz w:val="24"/>
                <w:szCs w:val="24"/>
                <w:highlight w:val="none"/>
              </w:rPr>
              <w:t>，网址</w:t>
            </w:r>
            <w:r>
              <w:rPr>
                <w:rStyle w:val="17"/>
                <w:rFonts w:hint="eastAsia" w:ascii="宋体" w:hAnsi="宋体" w:eastAsia="宋体" w:cs="宋体"/>
                <w:color w:val="auto"/>
                <w:sz w:val="24"/>
                <w:szCs w:val="24"/>
                <w:highlight w:val="none"/>
                <w:u w:val="none"/>
                <w:lang w:eastAsia="zh-CN"/>
              </w:rPr>
              <w:t>http://ggzyjy.xzfwzx.putian.gov.cn</w:t>
            </w:r>
            <w:r>
              <w:rPr>
                <w:rFonts w:hint="eastAsia" w:ascii="宋体" w:hAnsi="宋体" w:eastAsia="宋体" w:cs="宋体"/>
                <w:color w:val="auto"/>
                <w:sz w:val="24"/>
                <w:szCs w:val="24"/>
                <w:highlight w:val="none"/>
              </w:rPr>
              <w:t>。</w:t>
            </w:r>
          </w:p>
          <w:p>
            <w:pPr>
              <w:pStyle w:val="19"/>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※若出现上述指定媒体信息不一致情形，应以</w:t>
            </w:r>
            <w:r>
              <w:rPr>
                <w:rFonts w:hint="eastAsia" w:ascii="宋体" w:hAnsi="宋体" w:eastAsia="宋体" w:cs="宋体"/>
                <w:color w:val="auto"/>
                <w:sz w:val="24"/>
                <w:szCs w:val="24"/>
                <w:highlight w:val="none"/>
              </w:rPr>
              <w:t>莆田市公共交易中心网</w:t>
            </w:r>
            <w:r>
              <w:rPr>
                <w:rFonts w:hint="eastAsia" w:ascii="宋体" w:hAnsi="宋体" w:eastAsia="宋体" w:cs="宋体"/>
                <w:color w:val="auto"/>
                <w:sz w:val="24"/>
                <w:szCs w:val="24"/>
                <w:highlight w:val="none"/>
              </w:rPr>
              <w:t>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77" w:type="pct"/>
            <w:vAlign w:val="center"/>
          </w:tcPr>
          <w:p>
            <w:pPr>
              <w:pStyle w:val="19"/>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680" w:type="pct"/>
            <w:vAlign w:val="center"/>
          </w:tcPr>
          <w:p>
            <w:pPr>
              <w:pStyle w:val="19"/>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3941" w:type="pct"/>
          </w:tcPr>
          <w:p>
            <w:pPr>
              <w:pStyle w:val="19"/>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其他事项：</w:t>
            </w:r>
          </w:p>
          <w:p>
            <w:pPr>
              <w:pStyle w:val="19"/>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(1)本项目代理服务费：</w:t>
            </w:r>
          </w:p>
          <w:p>
            <w:pPr>
              <w:pStyle w:val="19"/>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本项目收取代理服务费</w:t>
            </w:r>
          </w:p>
          <w:p>
            <w:pPr>
              <w:pStyle w:val="19"/>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代理服务费用收取对象：中标供应商</w:t>
            </w:r>
          </w:p>
          <w:p>
            <w:pPr>
              <w:pStyle w:val="19"/>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代理服务费收费标准：</w:t>
            </w:r>
            <w:r>
              <w:rPr>
                <w:rFonts w:hint="eastAsia" w:ascii="宋体" w:hAnsi="宋体" w:cs="宋体"/>
                <w:color w:val="auto"/>
                <w:sz w:val="24"/>
                <w:szCs w:val="24"/>
                <w:highlight w:val="none"/>
              </w:rPr>
              <w:t>①</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收费标准：</w:t>
            </w:r>
            <w:r>
              <w:rPr>
                <w:rFonts w:hint="eastAsia" w:ascii="宋体"/>
                <w:color w:val="auto"/>
                <w:sz w:val="24"/>
                <w:highlight w:val="none"/>
              </w:rPr>
              <w:t>收费标准：</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金额</w:t>
            </w:r>
            <w:r>
              <w:rPr>
                <w:rFonts w:hint="eastAsia" w:ascii="宋体"/>
                <w:color w:val="auto"/>
                <w:sz w:val="24"/>
                <w:highlight w:val="none"/>
              </w:rPr>
              <w:t>在</w:t>
            </w:r>
            <w:r>
              <w:rPr>
                <w:rFonts w:hint="eastAsia" w:ascii="宋体"/>
                <w:color w:val="auto"/>
                <w:sz w:val="24"/>
                <w:highlight w:val="none"/>
                <w:lang w:val="en-US" w:eastAsia="zh-CN"/>
              </w:rPr>
              <w:t>50（含）</w:t>
            </w:r>
            <w:r>
              <w:rPr>
                <w:rFonts w:hint="eastAsia" w:ascii="宋体"/>
                <w:color w:val="auto"/>
                <w:sz w:val="24"/>
                <w:highlight w:val="none"/>
              </w:rPr>
              <w:t>万元人民币以内的：按</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金额</w:t>
            </w:r>
            <w:r>
              <w:rPr>
                <w:rFonts w:hint="eastAsia" w:ascii="宋体"/>
                <w:color w:val="auto"/>
                <w:sz w:val="24"/>
                <w:highlight w:val="none"/>
              </w:rPr>
              <w:t>的</w:t>
            </w:r>
            <w:r>
              <w:rPr>
                <w:rFonts w:hint="eastAsia" w:ascii="宋体"/>
                <w:color w:val="auto"/>
                <w:sz w:val="24"/>
                <w:highlight w:val="none"/>
                <w:lang w:val="en-US" w:eastAsia="zh-CN"/>
              </w:rPr>
              <w:t>0.8%</w:t>
            </w:r>
            <w:r>
              <w:rPr>
                <w:rFonts w:hint="eastAsia" w:ascii="宋体"/>
                <w:color w:val="auto"/>
                <w:sz w:val="24"/>
                <w:highlight w:val="none"/>
              </w:rPr>
              <w:t>计取</w:t>
            </w:r>
            <w:r>
              <w:rPr>
                <w:rFonts w:hint="eastAsia" w:ascii="宋体"/>
                <w:color w:val="auto"/>
                <w:sz w:val="24"/>
                <w:highlight w:val="none"/>
                <w:lang w:eastAsia="zh-CN"/>
              </w:rPr>
              <w:t>；</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金额</w:t>
            </w:r>
            <w:r>
              <w:rPr>
                <w:rFonts w:hint="eastAsia" w:ascii="宋体"/>
                <w:color w:val="auto"/>
                <w:sz w:val="24"/>
                <w:highlight w:val="none"/>
              </w:rPr>
              <w:t>在</w:t>
            </w:r>
            <w:r>
              <w:rPr>
                <w:rFonts w:hint="eastAsia" w:ascii="宋体"/>
                <w:color w:val="auto"/>
                <w:sz w:val="24"/>
                <w:highlight w:val="none"/>
                <w:lang w:val="en-US" w:eastAsia="zh-CN"/>
              </w:rPr>
              <w:t>50</w:t>
            </w:r>
            <w:r>
              <w:rPr>
                <w:rFonts w:hint="eastAsia" w:ascii="宋体"/>
                <w:color w:val="auto"/>
                <w:sz w:val="24"/>
                <w:highlight w:val="none"/>
              </w:rPr>
              <w:t>-</w:t>
            </w:r>
            <w:r>
              <w:rPr>
                <w:rFonts w:hint="eastAsia" w:ascii="宋体"/>
                <w:color w:val="auto"/>
                <w:sz w:val="24"/>
                <w:highlight w:val="none"/>
                <w:lang w:val="en-US" w:eastAsia="zh-CN"/>
              </w:rPr>
              <w:t>100（含）</w:t>
            </w:r>
            <w:r>
              <w:rPr>
                <w:rFonts w:hint="eastAsia" w:ascii="宋体"/>
                <w:color w:val="auto"/>
                <w:sz w:val="24"/>
                <w:highlight w:val="none"/>
              </w:rPr>
              <w:t>万元人民币以内的：按</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金额</w:t>
            </w:r>
            <w:r>
              <w:rPr>
                <w:rFonts w:hint="eastAsia" w:ascii="宋体"/>
                <w:color w:val="auto"/>
                <w:sz w:val="24"/>
                <w:highlight w:val="none"/>
                <w:lang w:val="en-US" w:eastAsia="zh-CN"/>
              </w:rPr>
              <w:t>0.6</w:t>
            </w:r>
            <w:r>
              <w:rPr>
                <w:rFonts w:hint="eastAsia" w:ascii="宋体"/>
                <w:color w:val="auto"/>
                <w:sz w:val="24"/>
                <w:highlight w:val="none"/>
              </w:rPr>
              <w:t>%计取</w:t>
            </w:r>
            <w:r>
              <w:rPr>
                <w:rFonts w:hint="eastAsia" w:ascii="宋体"/>
                <w:color w:val="auto"/>
                <w:sz w:val="24"/>
                <w:highlight w:val="none"/>
                <w:lang w:eastAsia="zh-CN"/>
              </w:rPr>
              <w:t>；</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金额</w:t>
            </w:r>
            <w:r>
              <w:rPr>
                <w:rFonts w:hint="eastAsia" w:ascii="宋体"/>
                <w:color w:val="auto"/>
                <w:sz w:val="24"/>
                <w:highlight w:val="none"/>
              </w:rPr>
              <w:t>在</w:t>
            </w:r>
            <w:r>
              <w:rPr>
                <w:rFonts w:hint="eastAsia" w:ascii="宋体"/>
                <w:color w:val="auto"/>
                <w:sz w:val="24"/>
                <w:highlight w:val="none"/>
                <w:lang w:val="en-US" w:eastAsia="zh-CN"/>
              </w:rPr>
              <w:t>100</w:t>
            </w:r>
            <w:r>
              <w:rPr>
                <w:rFonts w:hint="eastAsia" w:ascii="宋体"/>
                <w:color w:val="auto"/>
                <w:sz w:val="24"/>
                <w:highlight w:val="none"/>
                <w:lang w:eastAsia="zh-CN"/>
              </w:rPr>
              <w:t>（</w:t>
            </w:r>
            <w:r>
              <w:rPr>
                <w:rFonts w:hint="eastAsia" w:ascii="宋体"/>
                <w:color w:val="auto"/>
                <w:sz w:val="24"/>
                <w:highlight w:val="none"/>
                <w:lang w:val="en-US" w:eastAsia="zh-CN"/>
              </w:rPr>
              <w:t>含</w:t>
            </w:r>
            <w:r>
              <w:rPr>
                <w:rFonts w:hint="eastAsia" w:ascii="宋体"/>
                <w:color w:val="auto"/>
                <w:sz w:val="24"/>
                <w:highlight w:val="none"/>
                <w:lang w:eastAsia="zh-CN"/>
              </w:rPr>
              <w:t>）</w:t>
            </w:r>
            <w:r>
              <w:rPr>
                <w:rFonts w:hint="eastAsia" w:ascii="宋体"/>
                <w:color w:val="auto"/>
                <w:sz w:val="24"/>
                <w:highlight w:val="none"/>
              </w:rPr>
              <w:t>万元人民币以</w:t>
            </w:r>
            <w:r>
              <w:rPr>
                <w:rFonts w:hint="eastAsia" w:ascii="宋体"/>
                <w:color w:val="auto"/>
                <w:sz w:val="24"/>
                <w:highlight w:val="none"/>
                <w:lang w:val="en-US" w:eastAsia="zh-CN"/>
              </w:rPr>
              <w:t>上</w:t>
            </w:r>
            <w:r>
              <w:rPr>
                <w:rFonts w:hint="eastAsia" w:ascii="宋体"/>
                <w:color w:val="auto"/>
                <w:sz w:val="24"/>
                <w:highlight w:val="none"/>
              </w:rPr>
              <w:t>的</w:t>
            </w:r>
            <w:r>
              <w:rPr>
                <w:rFonts w:hint="eastAsia" w:ascii="宋体"/>
                <w:color w:val="auto"/>
                <w:sz w:val="24"/>
                <w:highlight w:val="none"/>
                <w:lang w:eastAsia="zh-CN"/>
              </w:rPr>
              <w:t>：</w:t>
            </w:r>
            <w:r>
              <w:rPr>
                <w:rFonts w:hint="eastAsia" w:ascii="宋体"/>
                <w:color w:val="auto"/>
                <w:sz w:val="24"/>
                <w:highlight w:val="none"/>
              </w:rPr>
              <w:t>按</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金额</w:t>
            </w:r>
            <w:r>
              <w:rPr>
                <w:rFonts w:hint="eastAsia" w:ascii="宋体"/>
                <w:color w:val="auto"/>
                <w:sz w:val="24"/>
                <w:highlight w:val="none"/>
              </w:rPr>
              <w:t>的</w:t>
            </w:r>
            <w:r>
              <w:rPr>
                <w:rFonts w:hint="eastAsia" w:ascii="宋体"/>
                <w:color w:val="auto"/>
                <w:sz w:val="24"/>
                <w:highlight w:val="none"/>
                <w:lang w:val="en-US" w:eastAsia="zh-CN"/>
              </w:rPr>
              <w:t>0.4</w:t>
            </w:r>
            <w:r>
              <w:rPr>
                <w:rFonts w:hint="eastAsia" w:ascii="宋体"/>
                <w:color w:val="auto"/>
                <w:sz w:val="24"/>
                <w:highlight w:val="none"/>
              </w:rPr>
              <w:t>%计取</w:t>
            </w:r>
            <w:r>
              <w:rPr>
                <w:rFonts w:hint="eastAsia" w:ascii="宋体" w:hAnsi="宋体" w:cs="宋体"/>
                <w:color w:val="auto"/>
                <w:sz w:val="24"/>
                <w:szCs w:val="24"/>
                <w:highlight w:val="none"/>
                <w:lang w:eastAsia="zh-CN"/>
              </w:rPr>
              <w:t>；</w:t>
            </w:r>
            <w:r>
              <w:rPr>
                <w:rFonts w:hint="eastAsia" w:ascii="宋体" w:hAnsi="宋体" w:eastAsia="宋体" w:cs="宋体"/>
                <w:b w:val="0"/>
                <w:bCs/>
                <w:color w:val="auto"/>
                <w:sz w:val="24"/>
                <w:szCs w:val="24"/>
                <w:highlight w:val="none"/>
              </w:rPr>
              <w:t>招标代理服务费</w:t>
            </w:r>
            <w:r>
              <w:rPr>
                <w:rFonts w:hint="eastAsia" w:ascii="宋体" w:hAnsi="宋体" w:cs="宋体"/>
                <w:color w:val="auto"/>
                <w:sz w:val="24"/>
                <w:szCs w:val="24"/>
                <w:highlight w:val="none"/>
                <w:lang w:val="en-US" w:eastAsia="zh-CN"/>
              </w:rPr>
              <w:t>不足5000元，按5000元计取</w:t>
            </w: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rPr>
              <w:t>注：a、按</w:t>
            </w:r>
            <w:r>
              <w:rPr>
                <w:rFonts w:hint="eastAsia" w:ascii="宋体" w:hAnsi="宋体" w:eastAsia="宋体" w:cs="宋体"/>
                <w:color w:val="auto"/>
                <w:sz w:val="24"/>
                <w:szCs w:val="24"/>
                <w:highlight w:val="none"/>
                <w:lang w:val="en-US" w:eastAsia="zh-CN"/>
              </w:rPr>
              <w:t>上述</w:t>
            </w:r>
            <w:r>
              <w:rPr>
                <w:rFonts w:hint="eastAsia" w:ascii="宋体" w:hAnsi="宋体" w:eastAsia="宋体" w:cs="宋体"/>
                <w:color w:val="auto"/>
                <w:sz w:val="24"/>
                <w:szCs w:val="24"/>
                <w:highlight w:val="none"/>
              </w:rPr>
              <w:t>费率计算的收费为招标代理服务全过程的收费基准价格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b、招标代理服务收费按差额定率累进法计算。</w:t>
            </w:r>
            <w:r>
              <w:rPr>
                <w:rFonts w:hint="eastAsia" w:ascii="宋体" w:hAnsi="宋体" w:cs="宋体"/>
                <w:color w:val="auto"/>
                <w:sz w:val="24"/>
                <w:highlight w:val="none"/>
              </w:rPr>
              <w:t>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在领取中标通知书前，以转账或汇款方式</w:t>
            </w:r>
            <w:r>
              <w:rPr>
                <w:rFonts w:hint="eastAsia" w:ascii="宋体" w:hAnsi="宋体" w:eastAsia="宋体" w:cs="宋体"/>
                <w:color w:val="auto"/>
                <w:sz w:val="24"/>
                <w:szCs w:val="24"/>
                <w:highlight w:val="none"/>
                <w:lang w:val="en-US" w:eastAsia="zh-CN"/>
              </w:rPr>
              <w:t>一次性付清</w:t>
            </w:r>
            <w:r>
              <w:rPr>
                <w:rFonts w:hint="eastAsia" w:ascii="宋体" w:hAnsi="宋体" w:eastAsia="宋体" w:cs="宋体"/>
                <w:color w:val="auto"/>
                <w:sz w:val="24"/>
                <w:szCs w:val="24"/>
                <w:highlight w:val="none"/>
              </w:rPr>
              <w:t>，请投标人报价时予以充分考虑。招标代理服务费缴纳账户信息：账户名：福建吉瑞招标代理有限公司，账号：1405 0106 1960 0008 458，开户行：中国工商银行莆田市分行国际业务部。</w:t>
            </w:r>
          </w:p>
          <w:p>
            <w:pPr>
              <w:pStyle w:val="19"/>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(2)其他：</w:t>
            </w:r>
          </w:p>
          <w:p>
            <w:pPr>
              <w:pStyle w:val="19"/>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投标人在递交质疑函时除应提供本招标文件规定的相关材料外，还须提供</w:t>
            </w:r>
            <w:r>
              <w:rPr>
                <w:rFonts w:hint="eastAsia" w:ascii="宋体" w:hAnsi="宋体" w:eastAsia="宋体" w:cs="宋体"/>
                <w:color w:val="auto"/>
                <w:sz w:val="24"/>
                <w:szCs w:val="24"/>
                <w:highlight w:val="none"/>
              </w:rPr>
              <w:t>莆田市公共交易中心网</w:t>
            </w:r>
            <w:r>
              <w:rPr>
                <w:rFonts w:hint="eastAsia" w:ascii="宋体" w:hAnsi="宋体" w:eastAsia="宋体" w:cs="宋体"/>
                <w:color w:val="auto"/>
                <w:sz w:val="24"/>
                <w:szCs w:val="24"/>
                <w:highlight w:val="none"/>
              </w:rPr>
              <w:t>上公开信息系统本项目的报名截图复印件，否则递交的质疑函将不予受理。在法定质疑期内质疑人须一次性提出针对同一采购程序环节的质疑，二（多）次质疑不予受理。 2、因特殊情况享受缓缴或免缴社保、税款的企业，无法提供相关社保、税收缴纳证明材料的，提供有关情况说明视同社保、税收缴纳证明材料提供完整。 3、投标人针对招标文件中一般资格证明文件“财务状况报告”若选择提供资信证明复印件的，无需提供其开户（基本存款账户）许可证复印件，若此项规定与招标文件其他部分有矛盾的，以此项规定为准。 4、招标文件中要求提供的所有证明材料，供应商在提供时若有注明复印件无效（招标文件有特别说明的除外），投标供应商应在对应的投标文件中提供原件扫描件上传电子投标系统进行投标。证明材料必须齐全，如有多页的必须全部上传（含：封面、正文、最后一页等），证明材料不齐全导致的后果由供应商自行承担责任[含：</w:t>
            </w:r>
            <w:r>
              <w:rPr>
                <w:rFonts w:hint="eastAsia" w:ascii="宋体" w:hAnsi="宋体" w:eastAsia="宋体" w:cs="宋体"/>
                <w:color w:val="auto"/>
                <w:sz w:val="24"/>
                <w:szCs w:val="24"/>
                <w:highlight w:val="none"/>
                <w:lang w:eastAsia="zh-CN"/>
              </w:rPr>
              <w:t>评标委员会</w:t>
            </w:r>
            <w:r>
              <w:rPr>
                <w:rFonts w:hint="eastAsia" w:ascii="宋体" w:hAnsi="宋体" w:eastAsia="宋体" w:cs="宋体"/>
                <w:color w:val="auto"/>
                <w:sz w:val="24"/>
                <w:szCs w:val="24"/>
                <w:highlight w:val="none"/>
              </w:rPr>
              <w:t>（评审专家）或资格审查小组作出对投标供应商不利的判断]。 5、</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中所有证明材料若有注明仅供内部参考或内部使用或不对外等相同意思表述的，则证明材料无效。招标文件若有要求提供国家认可的具备检测资质的检测机构出具有效的检测报告，该报告是指符合《检验检测机构资质认定管理办法》的检测机构出具的有效检测报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58" w:type="pct"/>
            <w:gridSpan w:val="2"/>
            <w:vAlign w:val="center"/>
          </w:tcPr>
          <w:p>
            <w:pPr>
              <w:pStyle w:val="19"/>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3941" w:type="pct"/>
          </w:tcPr>
          <w:p>
            <w:pPr>
              <w:pStyle w:val="19"/>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后有投标人须知前附表2，请勿遗漏。</w:t>
            </w:r>
          </w:p>
        </w:tc>
      </w:tr>
    </w:tbl>
    <w:p>
      <w:pPr>
        <w:pStyle w:val="19"/>
        <w:keepNext w:val="0"/>
        <w:keepLines w:val="0"/>
        <w:pageBreakBefore w:val="0"/>
        <w:widowControl/>
        <w:kinsoku/>
        <w:wordWrap/>
        <w:overflowPunct/>
        <w:topLinePunct w:val="0"/>
        <w:autoSpaceDE/>
        <w:autoSpaceDN/>
        <w:bidi w:val="0"/>
        <w:adjustRightInd/>
        <w:snapToGrid/>
        <w:spacing w:line="400" w:lineRule="exact"/>
        <w:jc w:val="center"/>
        <w:textAlignment w:val="auto"/>
        <w:outlineLvl w:val="2"/>
        <w:rPr>
          <w:b/>
          <w:color w:val="auto"/>
          <w:sz w:val="28"/>
          <w:highlight w:val="none"/>
        </w:rPr>
      </w:pPr>
    </w:p>
    <w:p>
      <w:pPr>
        <w:pStyle w:val="19"/>
        <w:keepNext w:val="0"/>
        <w:keepLines w:val="0"/>
        <w:pageBreakBefore w:val="0"/>
        <w:widowControl/>
        <w:kinsoku/>
        <w:wordWrap/>
        <w:overflowPunct/>
        <w:topLinePunct w:val="0"/>
        <w:autoSpaceDE/>
        <w:autoSpaceDN/>
        <w:bidi w:val="0"/>
        <w:adjustRightInd/>
        <w:snapToGrid/>
        <w:spacing w:line="400" w:lineRule="exact"/>
        <w:jc w:val="center"/>
        <w:textAlignment w:val="auto"/>
        <w:outlineLvl w:val="2"/>
        <w:rPr>
          <w:b/>
          <w:color w:val="auto"/>
          <w:sz w:val="28"/>
          <w:highlight w:val="none"/>
        </w:rPr>
      </w:pPr>
      <w:r>
        <w:rPr>
          <w:b/>
          <w:color w:val="auto"/>
          <w:sz w:val="28"/>
          <w:highlight w:val="none"/>
        </w:rPr>
        <w:t>二、投标人须知前附表2</w:t>
      </w:r>
    </w:p>
    <w:tbl>
      <w:tblPr>
        <w:tblStyle w:val="14"/>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8"/>
        <w:gridCol w:w="927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5000" w:type="pct"/>
            <w:gridSpan w:val="2"/>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96" w:type="pct"/>
          </w:tcPr>
          <w:p>
            <w:pPr>
              <w:pStyle w:val="1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603" w:type="pct"/>
          </w:tcPr>
          <w:p>
            <w:pPr>
              <w:pStyle w:val="1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96" w:type="pct"/>
          </w:tcPr>
          <w:p>
            <w:pPr>
              <w:pStyle w:val="1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603" w:type="pct"/>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（1）电子招标投标活动的专门规定适用本项目电子招标投标活动。</w:t>
            </w:r>
          </w:p>
          <w:p>
            <w:pPr>
              <w:pStyle w:val="19"/>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（2）将招标文件</w:t>
            </w:r>
            <w:r>
              <w:rPr>
                <w:rFonts w:hint="eastAsia" w:ascii="宋体" w:hAnsi="宋体" w:eastAsia="宋体" w:cs="宋体"/>
                <w:color w:val="auto"/>
                <w:sz w:val="24"/>
                <w:szCs w:val="24"/>
                <w:highlight w:val="none"/>
                <w:lang w:eastAsia="zh-CN"/>
              </w:rPr>
              <w:t>：</w:t>
            </w:r>
          </w:p>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的内容修正为下列内容：</w:t>
            </w:r>
          </w:p>
          <w:p>
            <w:pPr>
              <w:pStyle w:val="19"/>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无</w:t>
            </w:r>
            <w:r>
              <w:rPr>
                <w:rFonts w:hint="eastAsia" w:ascii="宋体" w:hAnsi="宋体" w:eastAsia="宋体" w:cs="宋体"/>
                <w:color w:val="auto"/>
                <w:sz w:val="24"/>
                <w:szCs w:val="24"/>
                <w:highlight w:val="none"/>
                <w:lang w:eastAsia="zh-CN"/>
              </w:rPr>
              <w:t>。</w:t>
            </w:r>
          </w:p>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后适用本项目的电子招标投标活动。</w:t>
            </w:r>
          </w:p>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（3）将下列内容增列为招标文件的组成部分（以下简称：“增列内容”）适用本项目的电子招标投标活动，若增列内容与招标文件其他章节内容有冲突，应以增列内容为准：</w:t>
            </w:r>
          </w:p>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①电子招标投标活动的具体操作流程以莆田市公共交易中心网上公开信息系统设定的为准。</w:t>
            </w:r>
          </w:p>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②关于电子投标文件：</w:t>
            </w:r>
          </w:p>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a.投标人应按照莆田市公共交易中心网上公开信息系统设定的评审节点编制电子投标文件，否则资格审查小组、评标委员会将按照不利于投标人的内容进行认定。</w:t>
            </w:r>
          </w:p>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人应在投标截止时间前按照莆田市公共交易中心网上公开信息系统设定的操作流程将电子投标文件1份上传至莆田市公共交易中心网上公开信息系统。电子投标文件的分项报价一览表、投标客户端的分项报价一览表应保持一致，并以投标客户端的分项报价一览表为准。</w:t>
            </w:r>
          </w:p>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③关于证明材料或资料：</w:t>
            </w:r>
          </w:p>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b.若投标人提供注明“复印件无效”或“复印无效”的证明材料或资料，应结合上文a条款进行判定，若招标文件未要求投标人提供原件，投标人提供原件，复印件（含扫描件）均视为满足招标文件要求。</w:t>
            </w:r>
          </w:p>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④关于“全称”、“投标人代表签字”及“加盖单位公章”：</w:t>
            </w:r>
          </w:p>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a.在电子投标文件中，涉及“全称”和“投标人代表签字”的内容可使用打字录入方式完成。</w:t>
            </w:r>
          </w:p>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b.在电子投标文件中，涉及“加盖单位公章”的内容应使用投标人的CA证书完成，否则投标无效。</w:t>
            </w:r>
          </w:p>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c.在电子投标文件中，若投标人按照本增列内容第④点第b项规定加盖其单位公章，则出现无全称</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rPr>
              <w:t>投标人代表未签字等情形，不视为投标无效。</w:t>
            </w:r>
          </w:p>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⑤关于投标人的CA证书：</w:t>
            </w:r>
          </w:p>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a.投标人的CA证书应在系统规定时间内使用CA证书进行电子投标文件的解密操作，逾期未解密的视为放弃投标。</w:t>
            </w:r>
          </w:p>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b.投标人的CA证书可采用信封（包括但不限于：信封、档案袋、文件袋等）作为外包装进行单独包装。外包装密封、不密封皆可。</w:t>
            </w:r>
          </w:p>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c.投标人的CA证书或外包装应标记“项目名称、项目编号、投标人的全称”等内容，以方便识别、使用。</w:t>
            </w:r>
          </w:p>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d.投标人的CA证书应能正常、有效使用，否则产生不利后果由投标人承担责任。</w:t>
            </w:r>
          </w:p>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⑥关于投标截止时间过后</w:t>
            </w:r>
          </w:p>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a.未按招标文件规定提交投标保证金的，其投标将按无效投标处理。</w:t>
            </w:r>
          </w:p>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b.有下列情形之一的，其投标无效,其保证金不予退还或通过投标保函进行索赔：</w:t>
            </w:r>
          </w:p>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b1不同投标人的电子投标文件具有相同内部识别码；</w:t>
            </w:r>
          </w:p>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b2不同投标人的投标保证金从同一单位或个人的账户转出；</w:t>
            </w:r>
          </w:p>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b3投标人的投标保证金同一</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下有其他投标人提交的投标保证金；</w:t>
            </w:r>
          </w:p>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b4不同投标人存在串通投标的其他情形。</w:t>
            </w:r>
          </w:p>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⑦接受联合体投标且投标人为联合体的，投标人应由“联合体牵头方”完成莆田市公共交易中心网上公开信息系统设定的具体操作流程（包括但不限于：招标文件获取、提交投标保证金、编制电子投标文件等）。</w:t>
            </w:r>
          </w:p>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⑧其他：</w:t>
            </w:r>
          </w:p>
          <w:p>
            <w:pPr>
              <w:keepNext w:val="0"/>
              <w:keepLines w:val="0"/>
              <w:pageBreakBefore w:val="0"/>
              <w:kinsoku/>
              <w:wordWrap/>
              <w:overflowPunct/>
              <w:topLinePunct w:val="0"/>
              <w:autoSpaceDE/>
              <w:autoSpaceDN/>
              <w:bidi w:val="0"/>
              <w:spacing w:line="378" w:lineRule="exact"/>
              <w:rPr>
                <w:rFonts w:hint="eastAsia" w:ascii="宋体" w:hAnsi="宋体" w:cs="宋体"/>
                <w:b/>
                <w:bCs/>
                <w:color w:val="auto"/>
                <w:sz w:val="24"/>
                <w:highlight w:val="none"/>
              </w:rPr>
            </w:pPr>
            <w:r>
              <w:rPr>
                <w:rFonts w:hint="eastAsia" w:ascii="宋体" w:hAnsi="宋体" w:cs="宋体"/>
                <w:b/>
                <w:bCs/>
                <w:color w:val="auto"/>
                <w:sz w:val="24"/>
                <w:highlight w:val="none"/>
              </w:rPr>
              <w:t>1、本项目实行两阶段评标。投标人的投标文件由技术商务标和报价标两部分</w:t>
            </w:r>
            <w:r>
              <w:rPr>
                <w:rFonts w:hint="eastAsia" w:ascii="宋体" w:hAnsi="宋体" w:cs="宋体"/>
                <w:b/>
                <w:bCs/>
                <w:color w:val="auto"/>
                <w:sz w:val="24"/>
                <w:highlight w:val="none"/>
                <w:lang w:val="en-US" w:eastAsia="zh-CN"/>
              </w:rPr>
              <w:t>及投标文件电子版（U盘或光盘）</w:t>
            </w:r>
            <w:r>
              <w:rPr>
                <w:rFonts w:hint="eastAsia" w:ascii="宋体" w:hAnsi="宋体" w:cs="宋体"/>
                <w:b/>
                <w:bCs/>
                <w:color w:val="auto"/>
                <w:sz w:val="24"/>
                <w:highlight w:val="none"/>
              </w:rPr>
              <w:t>组成，并按以下要求制作，否则视为无效投标：</w:t>
            </w:r>
          </w:p>
          <w:p>
            <w:pPr>
              <w:keepNext w:val="0"/>
              <w:keepLines w:val="0"/>
              <w:pageBreakBefore w:val="0"/>
              <w:kinsoku/>
              <w:wordWrap/>
              <w:overflowPunct/>
              <w:topLinePunct w:val="0"/>
              <w:autoSpaceDE/>
              <w:autoSpaceDN/>
              <w:bidi w:val="0"/>
              <w:spacing w:line="378" w:lineRule="exact"/>
              <w:rPr>
                <w:rFonts w:hint="eastAsia" w:ascii="宋体" w:hAnsi="宋体" w:cs="宋体"/>
                <w:color w:val="auto"/>
                <w:sz w:val="24"/>
                <w:highlight w:val="none"/>
              </w:rPr>
            </w:pPr>
            <w:r>
              <w:rPr>
                <w:rFonts w:hint="eastAsia" w:ascii="宋体" w:hAnsi="宋体" w:cs="宋体"/>
                <w:color w:val="auto"/>
                <w:sz w:val="24"/>
                <w:highlight w:val="none"/>
              </w:rPr>
              <w:t>（1）纸质投标文件的技术商务标须独立编制：正本一份，副本</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份，正本必须用A4幅面纸张打印装订，副本可以用正本的完整复印件，并在封面标明“正本”、“副本”字样。正本与副本如有不一致，则以正本为准。投标文件技术商务标正副本必须用线装或胶装成册（为永久性、无破坏不可拆分）并加盖投标单位公章和骑缝章。技术商务标中不再附与投标报价有关的材料。</w:t>
            </w:r>
          </w:p>
          <w:p>
            <w:pPr>
              <w:keepNext w:val="0"/>
              <w:keepLines w:val="0"/>
              <w:pageBreakBefore w:val="0"/>
              <w:kinsoku/>
              <w:wordWrap/>
              <w:overflowPunct/>
              <w:topLinePunct w:val="0"/>
              <w:autoSpaceDE/>
              <w:autoSpaceDN/>
              <w:bidi w:val="0"/>
              <w:spacing w:line="378" w:lineRule="exact"/>
              <w:rPr>
                <w:rFonts w:hint="eastAsia" w:ascii="宋体" w:hAnsi="宋体" w:cs="宋体"/>
                <w:color w:val="auto"/>
                <w:sz w:val="24"/>
                <w:highlight w:val="none"/>
              </w:rPr>
            </w:pPr>
            <w:r>
              <w:rPr>
                <w:rFonts w:hint="eastAsia" w:ascii="宋体" w:hAnsi="宋体" w:cs="宋体"/>
                <w:color w:val="auto"/>
                <w:sz w:val="24"/>
                <w:highlight w:val="none"/>
              </w:rPr>
              <w:t>（2）纸质投标文件的报价标须独立编制：正本一份，副本</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份，单独密封（含开标一览表、投标分项报价表及所有涉及投标报价部分的资料），并加盖投标单位公章。</w:t>
            </w:r>
          </w:p>
          <w:p>
            <w:pPr>
              <w:keepNext w:val="0"/>
              <w:keepLines w:val="0"/>
              <w:pageBreakBefore w:val="0"/>
              <w:kinsoku/>
              <w:wordWrap/>
              <w:overflowPunct/>
              <w:topLinePunct w:val="0"/>
              <w:autoSpaceDE/>
              <w:autoSpaceDN/>
              <w:bidi w:val="0"/>
              <w:spacing w:line="378" w:lineRule="exact"/>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（3）投标文件电子版（U盘）</w:t>
            </w:r>
            <w:r>
              <w:rPr>
                <w:rFonts w:hint="eastAsia" w:ascii="宋体" w:hAnsi="宋体" w:cs="宋体"/>
                <w:b/>
                <w:bCs/>
                <w:color w:val="auto"/>
                <w:sz w:val="24"/>
                <w:highlight w:val="none"/>
              </w:rPr>
              <w:t>单独密封</w:t>
            </w:r>
            <w:r>
              <w:rPr>
                <w:rFonts w:hint="eastAsia" w:ascii="宋体" w:hAnsi="宋体" w:cs="宋体"/>
                <w:b/>
                <w:bCs/>
                <w:color w:val="auto"/>
                <w:sz w:val="24"/>
                <w:highlight w:val="none"/>
                <w:lang w:val="en-US" w:eastAsia="zh-CN"/>
              </w:rPr>
              <w:t>一份。</w:t>
            </w:r>
          </w:p>
          <w:p>
            <w:pPr>
              <w:keepNext w:val="0"/>
              <w:keepLines w:val="0"/>
              <w:pageBreakBefore w:val="0"/>
              <w:kinsoku/>
              <w:wordWrap/>
              <w:overflowPunct/>
              <w:topLinePunct w:val="0"/>
              <w:autoSpaceDE/>
              <w:autoSpaceDN/>
              <w:bidi w:val="0"/>
              <w:spacing w:line="378" w:lineRule="exac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）适用本项目的电子招标投标活动，若本条内容与招标文件其他章节内容有冲突，应以本条内容为准：</w:t>
            </w:r>
          </w:p>
          <w:p>
            <w:pPr>
              <w:keepNext w:val="0"/>
              <w:keepLines w:val="0"/>
              <w:pageBreakBefore w:val="0"/>
              <w:kinsoku/>
              <w:wordWrap/>
              <w:overflowPunct/>
              <w:topLinePunct w:val="0"/>
              <w:autoSpaceDE/>
              <w:autoSpaceDN/>
              <w:bidi w:val="0"/>
              <w:spacing w:line="378" w:lineRule="exact"/>
              <w:rPr>
                <w:rFonts w:hint="eastAsia" w:ascii="宋体" w:hAnsi="宋体" w:cs="宋体"/>
                <w:color w:val="auto"/>
                <w:sz w:val="24"/>
                <w:highlight w:val="none"/>
              </w:rPr>
            </w:pPr>
            <w:r>
              <w:rPr>
                <w:rFonts w:hint="eastAsia" w:ascii="宋体" w:hAnsi="宋体" w:cs="宋体"/>
                <w:color w:val="auto"/>
                <w:sz w:val="24"/>
                <w:highlight w:val="none"/>
              </w:rPr>
              <w:t>①电子招标投标活动的具体操作流程以莆田市公共资源交易中心网上公开信息系统设定的为准。</w:t>
            </w:r>
          </w:p>
          <w:p>
            <w:pPr>
              <w:keepNext w:val="0"/>
              <w:keepLines w:val="0"/>
              <w:pageBreakBefore w:val="0"/>
              <w:kinsoku/>
              <w:wordWrap/>
              <w:overflowPunct/>
              <w:topLinePunct w:val="0"/>
              <w:autoSpaceDE/>
              <w:autoSpaceDN/>
              <w:bidi w:val="0"/>
              <w:spacing w:line="378" w:lineRule="exact"/>
              <w:rPr>
                <w:rFonts w:hint="eastAsia" w:ascii="宋体" w:hAnsi="宋体" w:cs="宋体"/>
                <w:color w:val="auto"/>
                <w:sz w:val="24"/>
                <w:highlight w:val="none"/>
              </w:rPr>
            </w:pPr>
            <w:r>
              <w:rPr>
                <w:rFonts w:hint="eastAsia" w:ascii="宋体" w:hAnsi="宋体" w:cs="宋体"/>
                <w:color w:val="auto"/>
                <w:sz w:val="24"/>
                <w:highlight w:val="none"/>
              </w:rPr>
              <w:t>②关于投标文件：</w:t>
            </w:r>
          </w:p>
          <w:p>
            <w:pPr>
              <w:keepNext w:val="0"/>
              <w:keepLines w:val="0"/>
              <w:pageBreakBefore w:val="0"/>
              <w:kinsoku/>
              <w:wordWrap/>
              <w:overflowPunct/>
              <w:topLinePunct w:val="0"/>
              <w:autoSpaceDE/>
              <w:autoSpaceDN/>
              <w:bidi w:val="0"/>
              <w:spacing w:line="378" w:lineRule="exact"/>
              <w:rPr>
                <w:rFonts w:hint="eastAsia" w:ascii="宋体" w:hAnsi="宋体" w:cs="宋体"/>
                <w:color w:val="auto"/>
                <w:sz w:val="24"/>
                <w:highlight w:val="none"/>
              </w:rPr>
            </w:pPr>
            <w:r>
              <w:rPr>
                <w:rFonts w:hint="eastAsia" w:ascii="宋体" w:hAnsi="宋体" w:cs="宋体"/>
                <w:color w:val="auto"/>
                <w:sz w:val="24"/>
                <w:highlight w:val="none"/>
              </w:rPr>
              <w:t>a.投标人应按照莆田市公共资源交易中心网上公开信息系统设定的评审节点编制电子投标文件，否则评标委员会将按照不利于投标人的内容进行认定。</w:t>
            </w:r>
          </w:p>
          <w:p>
            <w:pPr>
              <w:keepNext w:val="0"/>
              <w:keepLines w:val="0"/>
              <w:pageBreakBefore w:val="0"/>
              <w:kinsoku/>
              <w:wordWrap/>
              <w:overflowPunct/>
              <w:topLinePunct w:val="0"/>
              <w:autoSpaceDE/>
              <w:autoSpaceDN/>
              <w:bidi w:val="0"/>
              <w:spacing w:line="378" w:lineRule="exact"/>
              <w:rPr>
                <w:rFonts w:hint="eastAsia" w:ascii="宋体" w:hAnsi="宋体" w:cs="宋体"/>
                <w:color w:val="auto"/>
                <w:sz w:val="24"/>
                <w:highlight w:val="none"/>
              </w:rPr>
            </w:pPr>
            <w:r>
              <w:rPr>
                <w:rFonts w:hint="eastAsia" w:ascii="宋体" w:hAnsi="宋体" w:cs="宋体"/>
                <w:color w:val="auto"/>
                <w:sz w:val="24"/>
                <w:highlight w:val="none"/>
              </w:rPr>
              <w:t>b.投标人应在投标截止时间前按照莆田市公共资源交易中心网上公开信息系统设定的操作流程将电子投标文件1份上传至莆田市公共资源交易中心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pStyle w:val="19"/>
              <w:jc w:val="left"/>
              <w:rPr>
                <w:rFonts w:hint="eastAsia" w:ascii="宋体" w:hAnsi="宋体" w:eastAsia="宋体" w:cs="宋体"/>
                <w:color w:val="auto"/>
                <w:sz w:val="24"/>
                <w:szCs w:val="24"/>
                <w:highlight w:val="none"/>
              </w:rPr>
            </w:pPr>
            <w:r>
              <w:rPr>
                <w:rFonts w:hint="eastAsia" w:ascii="宋体" w:hAnsi="宋体" w:cs="宋体"/>
                <w:color w:val="auto"/>
                <w:sz w:val="24"/>
                <w:highlight w:val="none"/>
              </w:rPr>
              <w:t>c.若出现莆田市公共资源交易中心网上公开信息系统设定的意外情形（如：系统故障等），经本项目监督管理部门同意使用纸质投标文件的，应以纸质投标文件为准。</w:t>
            </w:r>
          </w:p>
        </w:tc>
      </w:tr>
    </w:tbl>
    <w:p>
      <w:pPr>
        <w:pStyle w:val="19"/>
        <w:rPr>
          <w:color w:val="auto"/>
          <w:highlight w:val="none"/>
        </w:rPr>
      </w:pPr>
      <w:r>
        <w:rPr>
          <w:color w:val="auto"/>
          <w:highlight w:val="none"/>
        </w:rPr>
        <w:t xml:space="preserve"> </w:t>
      </w:r>
      <w:r>
        <w:rPr>
          <w:color w:val="auto"/>
          <w:highlight w:val="none"/>
        </w:rPr>
        <w:br w:type="textWrapping"/>
      </w:r>
      <w:r>
        <w:rPr>
          <w:color w:val="auto"/>
          <w:highlight w:val="none"/>
        </w:rPr>
        <w:br w:type="page"/>
      </w:r>
    </w:p>
    <w:p>
      <w:pPr>
        <w:spacing w:line="300" w:lineRule="exact"/>
        <w:jc w:val="center"/>
        <w:rPr>
          <w:rFonts w:hint="eastAsia" w:ascii="宋体" w:hAnsi="宋体"/>
          <w:b/>
          <w:bCs/>
          <w:color w:val="auto"/>
          <w:sz w:val="32"/>
          <w:szCs w:val="32"/>
          <w:highlight w:val="none"/>
        </w:rPr>
      </w:pPr>
      <w:r>
        <w:rPr>
          <w:rFonts w:hint="eastAsia" w:ascii="宋体" w:hAnsi="宋体"/>
          <w:b/>
          <w:color w:val="auto"/>
          <w:sz w:val="28"/>
          <w:szCs w:val="28"/>
          <w:highlight w:val="none"/>
        </w:rPr>
        <w:t>无效投标条款汇总表</w:t>
      </w:r>
    </w:p>
    <w:tbl>
      <w:tblPr>
        <w:tblStyle w:val="14"/>
        <w:tblW w:w="9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525"/>
        <w:gridCol w:w="798"/>
        <w:gridCol w:w="284"/>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4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20"/>
              <w:jc w:val="left"/>
              <w:textAlignment w:val="auto"/>
              <w:rPr>
                <w:rFonts w:ascii="宋体"/>
                <w:color w:val="auto"/>
                <w:sz w:val="24"/>
                <w:highlight w:val="none"/>
              </w:rPr>
            </w:pPr>
            <w:r>
              <w:rPr>
                <w:rFonts w:hint="eastAsia" w:ascii="宋体" w:hAnsi="宋体" w:cs="宋体"/>
                <w:color w:val="auto"/>
                <w:sz w:val="24"/>
                <w:highlight w:val="none"/>
              </w:rPr>
              <w:t>以下集中列示本招标文件中规定的无效投标因素，具体内容详见招标文件各章节。</w:t>
            </w:r>
          </w:p>
          <w:p>
            <w:pPr>
              <w:keepNext w:val="0"/>
              <w:keepLines w:val="0"/>
              <w:pageBreakBefore w:val="0"/>
              <w:widowControl w:val="0"/>
              <w:kinsoku/>
              <w:wordWrap/>
              <w:overflowPunct/>
              <w:topLinePunct w:val="0"/>
              <w:autoSpaceDE/>
              <w:autoSpaceDN/>
              <w:bidi w:val="0"/>
              <w:adjustRightInd/>
              <w:snapToGrid/>
              <w:spacing w:line="340" w:lineRule="exact"/>
              <w:ind w:firstLine="420"/>
              <w:jc w:val="left"/>
              <w:textAlignment w:val="auto"/>
              <w:rPr>
                <w:rFonts w:ascii="宋体"/>
                <w:color w:val="auto"/>
                <w:sz w:val="24"/>
                <w:highlight w:val="none"/>
              </w:rPr>
            </w:pPr>
            <w:r>
              <w:rPr>
                <w:rFonts w:hint="eastAsia" w:ascii="宋体" w:hAnsi="宋体" w:cs="宋体"/>
                <w:color w:val="auto"/>
                <w:sz w:val="24"/>
                <w:highlight w:val="none"/>
              </w:rPr>
              <w:t>一、资格性审查：如果投标人不具备投标资格，不满足招标文件所规定的资格标准的</w:t>
            </w:r>
            <w:r>
              <w:rPr>
                <w:rFonts w:ascii="宋体" w:hAnsi="宋体" w:cs="宋体"/>
                <w:color w:val="auto"/>
                <w:sz w:val="24"/>
                <w:highlight w:val="none"/>
              </w:rPr>
              <w:t xml:space="preserve">, </w:t>
            </w:r>
            <w:r>
              <w:rPr>
                <w:rFonts w:hint="eastAsia" w:ascii="宋体" w:hAnsi="宋体" w:cs="宋体"/>
                <w:color w:val="auto"/>
                <w:sz w:val="24"/>
                <w:highlight w:val="none"/>
              </w:rPr>
              <w:t>其投标无效，不进入评标。具体要求见投标人须知第</w:t>
            </w:r>
            <w:r>
              <w:rPr>
                <w:rFonts w:ascii="宋体" w:hAnsi="宋体" w:cs="宋体"/>
                <w:color w:val="auto"/>
                <w:sz w:val="24"/>
                <w:highlight w:val="none"/>
              </w:rPr>
              <w:t>3</w:t>
            </w:r>
            <w:r>
              <w:rPr>
                <w:rFonts w:hint="eastAsia" w:ascii="宋体" w:hAnsi="宋体" w:cs="宋体"/>
                <w:color w:val="auto"/>
                <w:sz w:val="24"/>
                <w:highlight w:val="none"/>
              </w:rPr>
              <w:t>点合格的投标人之规定。</w:t>
            </w:r>
          </w:p>
          <w:p>
            <w:pPr>
              <w:keepNext w:val="0"/>
              <w:keepLines w:val="0"/>
              <w:pageBreakBefore w:val="0"/>
              <w:widowControl w:val="0"/>
              <w:kinsoku/>
              <w:wordWrap/>
              <w:overflowPunct/>
              <w:topLinePunct w:val="0"/>
              <w:autoSpaceDE/>
              <w:autoSpaceDN/>
              <w:bidi w:val="0"/>
              <w:adjustRightInd/>
              <w:snapToGrid/>
              <w:spacing w:line="340" w:lineRule="exact"/>
              <w:ind w:firstLine="420"/>
              <w:jc w:val="left"/>
              <w:textAlignment w:val="auto"/>
              <w:rPr>
                <w:rFonts w:ascii="宋体"/>
                <w:b/>
                <w:bCs/>
                <w:color w:val="auto"/>
                <w:sz w:val="24"/>
                <w:highlight w:val="none"/>
              </w:rPr>
            </w:pPr>
            <w:r>
              <w:rPr>
                <w:rFonts w:hint="eastAsia" w:ascii="宋体" w:hAnsi="宋体" w:cs="宋体"/>
                <w:color w:val="auto"/>
                <w:sz w:val="24"/>
                <w:highlight w:val="none"/>
              </w:rPr>
              <w:t>二、符合性审查：投标文件有下述情形之一的，应认定为未对招标文件作出实质性响应，作无效投标处理。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b/>
                <w:bCs/>
                <w:color w:val="auto"/>
                <w:w w:val="80"/>
                <w:sz w:val="24"/>
                <w:highlight w:val="none"/>
              </w:rPr>
            </w:pPr>
            <w:r>
              <w:rPr>
                <w:rFonts w:hint="eastAsia" w:ascii="宋体" w:hAnsi="宋体" w:cs="宋体"/>
                <w:b/>
                <w:bCs/>
                <w:color w:val="auto"/>
                <w:w w:val="80"/>
                <w:sz w:val="24"/>
                <w:highlight w:val="none"/>
              </w:rPr>
              <w:t>序号</w:t>
            </w:r>
          </w:p>
        </w:tc>
        <w:tc>
          <w:tcPr>
            <w:tcW w:w="13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b/>
                <w:bCs/>
                <w:color w:val="auto"/>
                <w:sz w:val="24"/>
                <w:highlight w:val="none"/>
              </w:rPr>
            </w:pPr>
            <w:r>
              <w:rPr>
                <w:rFonts w:hint="eastAsia" w:ascii="宋体" w:hAnsi="宋体" w:cs="宋体"/>
                <w:b/>
                <w:bCs/>
                <w:color w:val="auto"/>
                <w:sz w:val="24"/>
                <w:highlight w:val="none"/>
              </w:rPr>
              <w:t>所在章节</w:t>
            </w:r>
          </w:p>
        </w:tc>
        <w:tc>
          <w:tcPr>
            <w:tcW w:w="8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b/>
                <w:bCs/>
                <w:color w:val="auto"/>
                <w:sz w:val="24"/>
                <w:highlight w:val="none"/>
              </w:rPr>
            </w:pPr>
            <w:r>
              <w:rPr>
                <w:rFonts w:hint="eastAsia" w:ascii="宋体" w:hAnsi="宋体" w:cs="宋体"/>
                <w:b/>
                <w:bCs/>
                <w:color w:val="auto"/>
                <w:sz w:val="24"/>
                <w:highlight w:val="none"/>
              </w:rPr>
              <w:t>条款号、无效投标因素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7" w:hRule="atLeast"/>
          <w:jc w:val="center"/>
        </w:trPr>
        <w:tc>
          <w:tcPr>
            <w:tcW w:w="4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eastAsiaTheme="minorEastAsia"/>
                <w:color w:val="auto"/>
                <w:w w:val="80"/>
                <w:sz w:val="24"/>
                <w:highlight w:val="none"/>
                <w:lang w:eastAsia="zh-CN"/>
              </w:rPr>
            </w:pPr>
            <w:r>
              <w:rPr>
                <w:rFonts w:hint="eastAsia" w:ascii="宋体"/>
                <w:color w:val="auto"/>
                <w:w w:val="80"/>
                <w:sz w:val="24"/>
                <w:highlight w:val="none"/>
                <w:lang w:val="en-US" w:eastAsia="zh-CN"/>
              </w:rPr>
              <w:t>1</w:t>
            </w:r>
          </w:p>
        </w:tc>
        <w:tc>
          <w:tcPr>
            <w:tcW w:w="5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color w:val="auto"/>
                <w:w w:val="66"/>
                <w:sz w:val="24"/>
                <w:highlight w:val="none"/>
                <w:lang w:eastAsia="zh-CN"/>
              </w:rPr>
            </w:pPr>
            <w:r>
              <w:rPr>
                <w:rFonts w:hint="eastAsia" w:ascii="宋体" w:hAnsi="宋体" w:cs="宋体"/>
                <w:color w:val="auto"/>
                <w:w w:val="66"/>
                <w:sz w:val="24"/>
                <w:highlight w:val="none"/>
              </w:rPr>
              <w:t>第二章</w:t>
            </w:r>
            <w:r>
              <w:rPr>
                <w:rFonts w:hint="eastAsia" w:ascii="宋体" w:hAnsi="宋体" w:cs="宋体"/>
                <w:color w:val="auto"/>
                <w:w w:val="66"/>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color w:val="auto"/>
                <w:w w:val="66"/>
                <w:sz w:val="24"/>
                <w:highlight w:val="none"/>
              </w:rPr>
            </w:pPr>
            <w:r>
              <w:rPr>
                <w:rFonts w:hint="eastAsia" w:ascii="宋体" w:hAnsi="宋体" w:cs="宋体"/>
                <w:color w:val="auto"/>
                <w:w w:val="66"/>
                <w:sz w:val="24"/>
                <w:highlight w:val="none"/>
              </w:rPr>
              <w:t>投标人须知</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color w:val="auto"/>
                <w:w w:val="66"/>
                <w:sz w:val="24"/>
                <w:highlight w:val="none"/>
                <w:lang w:eastAsia="zh-CN"/>
              </w:rPr>
            </w:pPr>
            <w:r>
              <w:rPr>
                <w:rFonts w:hint="eastAsia" w:ascii="宋体" w:hAnsi="宋体" w:cs="宋体"/>
                <w:color w:val="auto"/>
                <w:w w:val="66"/>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color w:val="auto"/>
                <w:sz w:val="24"/>
                <w:highlight w:val="none"/>
              </w:rPr>
            </w:pPr>
            <w:r>
              <w:rPr>
                <w:rFonts w:hint="eastAsia" w:ascii="宋体" w:hAnsi="宋体" w:cs="宋体"/>
                <w:color w:val="auto"/>
                <w:w w:val="66"/>
                <w:sz w:val="24"/>
                <w:highlight w:val="none"/>
              </w:rPr>
              <w:t>中</w:t>
            </w:r>
          </w:p>
        </w:tc>
        <w:tc>
          <w:tcPr>
            <w:tcW w:w="1082" w:type="dxa"/>
            <w:gridSpan w:val="2"/>
            <w:noWrap w:val="0"/>
            <w:vAlign w:val="center"/>
          </w:tcPr>
          <w:p>
            <w:pPr>
              <w:keepNext w:val="0"/>
              <w:keepLines w:val="0"/>
              <w:pageBreakBefore w:val="0"/>
              <w:widowControl w:val="0"/>
              <w:tabs>
                <w:tab w:val="center" w:pos="4500"/>
                <w:tab w:val="left" w:pos="7050"/>
              </w:tabs>
              <w:kinsoku/>
              <w:wordWrap/>
              <w:overflowPunct/>
              <w:topLinePunct w:val="0"/>
              <w:autoSpaceDE/>
              <w:autoSpaceDN/>
              <w:bidi w:val="0"/>
              <w:adjustRightInd/>
              <w:snapToGrid/>
              <w:spacing w:line="340" w:lineRule="exact"/>
              <w:textAlignment w:val="auto"/>
              <w:rPr>
                <w:rFonts w:ascii="宋体"/>
                <w:color w:val="auto"/>
                <w:w w:val="90"/>
                <w:sz w:val="24"/>
                <w:highlight w:val="none"/>
              </w:rPr>
            </w:pPr>
            <w:r>
              <w:rPr>
                <w:rFonts w:hint="eastAsia" w:ascii="宋体"/>
                <w:color w:val="auto"/>
                <w:w w:val="90"/>
                <w:sz w:val="24"/>
                <w:highlight w:val="none"/>
              </w:rPr>
              <w:t>b.本项目规定的其他情形：</w:t>
            </w:r>
          </w:p>
        </w:tc>
        <w:tc>
          <w:tcPr>
            <w:tcW w:w="7796" w:type="dxa"/>
            <w:noWrap w:val="0"/>
            <w:vAlign w:val="center"/>
          </w:tcPr>
          <w:p>
            <w:pPr>
              <w:keepNext w:val="0"/>
              <w:keepLines w:val="0"/>
              <w:pageBreakBefore w:val="0"/>
              <w:widowControl w:val="0"/>
              <w:tabs>
                <w:tab w:val="center" w:pos="4500"/>
                <w:tab w:val="left" w:pos="7050"/>
              </w:tabs>
              <w:kinsoku/>
              <w:wordWrap/>
              <w:overflowPunct/>
              <w:topLinePunct w:val="0"/>
              <w:autoSpaceDE/>
              <w:autoSpaceDN/>
              <w:bidi w:val="0"/>
              <w:adjustRightInd/>
              <w:snapToGrid/>
              <w:spacing w:line="340" w:lineRule="exact"/>
              <w:ind w:firstLine="0"/>
              <w:textAlignment w:val="auto"/>
              <w:rPr>
                <w:rFonts w:ascii="宋体"/>
                <w:color w:val="auto"/>
                <w:sz w:val="24"/>
                <w:highlight w:val="none"/>
              </w:rPr>
            </w:pPr>
            <w:r>
              <w:rPr>
                <w:rFonts w:hint="eastAsia" w:ascii="宋体"/>
                <w:color w:val="auto"/>
                <w:sz w:val="24"/>
                <w:highlight w:val="none"/>
              </w:rPr>
              <w:t>3）投标人技术部分的实际得分少于招标文件设定的技术部分总分的50%的，按无效投标处理。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4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color w:val="auto"/>
                <w:w w:val="80"/>
                <w:sz w:val="24"/>
                <w:highlight w:val="none"/>
              </w:rPr>
            </w:pPr>
            <w:r>
              <w:rPr>
                <w:rFonts w:hint="eastAsia" w:ascii="宋体"/>
                <w:color w:val="auto"/>
                <w:w w:val="80"/>
                <w:sz w:val="24"/>
                <w:highlight w:val="none"/>
              </w:rPr>
              <w:t>2</w:t>
            </w:r>
          </w:p>
        </w:tc>
        <w:tc>
          <w:tcPr>
            <w:tcW w:w="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auto"/>
                <w:sz w:val="24"/>
                <w:highlight w:val="none"/>
              </w:rPr>
            </w:pPr>
          </w:p>
        </w:tc>
        <w:tc>
          <w:tcPr>
            <w:tcW w:w="88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宋体"/>
                <w:color w:val="auto"/>
                <w:sz w:val="24"/>
                <w:highlight w:val="none"/>
              </w:rPr>
            </w:pPr>
            <w:r>
              <w:rPr>
                <w:rFonts w:hint="eastAsia" w:ascii="宋体" w:hAnsi="宋体" w:cs="宋体"/>
                <w:color w:val="auto"/>
                <w:sz w:val="24"/>
                <w:highlight w:val="none"/>
              </w:rPr>
              <w:t>投标人应仔细阅读招标文件的所有内容，按照招标文件的要求提交投标文件。投标文件应对招标文件的要求作出实质性响应，并保证其投标文件中所提供的全部资料的真实性</w:t>
            </w:r>
            <w:r>
              <w:rPr>
                <w:rFonts w:ascii="宋体" w:cs="宋体"/>
                <w:color w:val="auto"/>
                <w:sz w:val="24"/>
                <w:highlight w:val="none"/>
              </w:rPr>
              <w:t>,</w:t>
            </w:r>
            <w:r>
              <w:rPr>
                <w:rFonts w:hint="eastAsia" w:ascii="宋体" w:hAnsi="宋体" w:cs="宋体"/>
                <w:color w:val="auto"/>
                <w:sz w:val="24"/>
                <w:highlight w:val="none"/>
              </w:rPr>
              <w:t>不得有弄虚作假行为，否则其投标无效。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1" w:hRule="atLeast"/>
          <w:jc w:val="center"/>
        </w:trPr>
        <w:tc>
          <w:tcPr>
            <w:tcW w:w="4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color w:val="auto"/>
                <w:w w:val="80"/>
                <w:sz w:val="24"/>
                <w:highlight w:val="none"/>
              </w:rPr>
            </w:pPr>
            <w:r>
              <w:rPr>
                <w:rFonts w:hint="eastAsia" w:ascii="宋体" w:hAnsi="宋体" w:cs="宋体"/>
                <w:color w:val="auto"/>
                <w:w w:val="80"/>
                <w:sz w:val="24"/>
                <w:highlight w:val="none"/>
              </w:rPr>
              <w:t>3</w:t>
            </w:r>
          </w:p>
        </w:tc>
        <w:tc>
          <w:tcPr>
            <w:tcW w:w="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auto"/>
                <w:sz w:val="24"/>
                <w:highlight w:val="none"/>
              </w:rPr>
            </w:pPr>
          </w:p>
        </w:tc>
        <w:tc>
          <w:tcPr>
            <w:tcW w:w="88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宋体"/>
                <w:color w:val="auto"/>
                <w:sz w:val="24"/>
                <w:highlight w:val="none"/>
              </w:rPr>
            </w:pPr>
            <w:r>
              <w:rPr>
                <w:rFonts w:hint="eastAsia" w:ascii="宋体" w:hAnsi="宋体" w:cs="宋体"/>
                <w:color w:val="auto"/>
                <w:sz w:val="24"/>
                <w:highlight w:val="none"/>
              </w:rPr>
              <w:t>除非有另外的规定，投标人可对《</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lang w:eastAsia="zh-CN"/>
              </w:rPr>
              <w:t>标的一览表</w:t>
            </w:r>
            <w:r>
              <w:rPr>
                <w:rFonts w:hint="eastAsia" w:ascii="宋体" w:hAnsi="宋体" w:cs="宋体"/>
                <w:color w:val="auto"/>
                <w:sz w:val="24"/>
                <w:highlight w:val="none"/>
              </w:rPr>
              <w:t>》所列的全部</w:t>
            </w:r>
            <w:r>
              <w:rPr>
                <w:rFonts w:hint="eastAsia" w:ascii="宋体" w:hAnsi="宋体" w:cs="宋体"/>
                <w:color w:val="auto"/>
                <w:sz w:val="24"/>
                <w:highlight w:val="none"/>
                <w:lang w:eastAsia="zh-CN"/>
              </w:rPr>
              <w:t>合同包</w:t>
            </w:r>
            <w:r>
              <w:rPr>
                <w:rFonts w:hint="eastAsia" w:ascii="宋体" w:hAnsi="宋体" w:cs="宋体"/>
                <w:color w:val="auto"/>
                <w:sz w:val="24"/>
                <w:highlight w:val="none"/>
              </w:rPr>
              <w:t>或部分</w:t>
            </w:r>
            <w:r>
              <w:rPr>
                <w:rFonts w:hint="eastAsia" w:ascii="宋体" w:hAnsi="宋体" w:cs="宋体"/>
                <w:color w:val="auto"/>
                <w:sz w:val="24"/>
                <w:highlight w:val="none"/>
                <w:lang w:eastAsia="zh-CN"/>
              </w:rPr>
              <w:t>合同包</w:t>
            </w:r>
            <w:r>
              <w:rPr>
                <w:rFonts w:hint="eastAsia" w:ascii="宋体" w:hAnsi="宋体" w:cs="宋体"/>
                <w:color w:val="auto"/>
                <w:sz w:val="24"/>
                <w:highlight w:val="none"/>
              </w:rPr>
              <w:t>进行投标。招标代理机构不接受有任何可选择性的报价，每一种货物、服务只能有一个报价，否则将导致投标无效。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color w:val="auto"/>
                <w:w w:val="80"/>
                <w:sz w:val="24"/>
                <w:highlight w:val="none"/>
              </w:rPr>
            </w:pPr>
            <w:r>
              <w:rPr>
                <w:rFonts w:hint="eastAsia" w:ascii="宋体" w:hAnsi="宋体" w:cs="宋体"/>
                <w:color w:val="auto"/>
                <w:w w:val="80"/>
                <w:sz w:val="24"/>
                <w:highlight w:val="none"/>
              </w:rPr>
              <w:t>4</w:t>
            </w:r>
          </w:p>
        </w:tc>
        <w:tc>
          <w:tcPr>
            <w:tcW w:w="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auto"/>
                <w:sz w:val="24"/>
                <w:highlight w:val="none"/>
              </w:rPr>
            </w:pPr>
          </w:p>
        </w:tc>
        <w:tc>
          <w:tcPr>
            <w:tcW w:w="88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ascii="宋体"/>
                <w:color w:val="auto"/>
                <w:sz w:val="24"/>
                <w:highlight w:val="none"/>
              </w:rPr>
            </w:pPr>
            <w:r>
              <w:rPr>
                <w:rFonts w:hint="eastAsia" w:ascii="宋体" w:hAnsi="宋体" w:cs="宋体"/>
                <w:color w:val="auto"/>
                <w:sz w:val="24"/>
                <w:highlight w:val="none"/>
              </w:rPr>
              <w:t>投标文件组成不符合招标文件要求的将导致投标无效。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color w:val="auto"/>
                <w:w w:val="80"/>
                <w:sz w:val="24"/>
                <w:highlight w:val="none"/>
              </w:rPr>
            </w:pPr>
            <w:r>
              <w:rPr>
                <w:rFonts w:hint="eastAsia" w:ascii="宋体" w:hAnsi="宋体" w:cs="宋体"/>
                <w:color w:val="auto"/>
                <w:w w:val="80"/>
                <w:sz w:val="24"/>
                <w:highlight w:val="none"/>
              </w:rPr>
              <w:t>5</w:t>
            </w:r>
          </w:p>
        </w:tc>
        <w:tc>
          <w:tcPr>
            <w:tcW w:w="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auto"/>
                <w:sz w:val="24"/>
                <w:highlight w:val="none"/>
              </w:rPr>
            </w:pPr>
          </w:p>
        </w:tc>
        <w:tc>
          <w:tcPr>
            <w:tcW w:w="88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ascii="宋体"/>
                <w:color w:val="auto"/>
                <w:sz w:val="24"/>
                <w:highlight w:val="none"/>
              </w:rPr>
            </w:pPr>
            <w:r>
              <w:rPr>
                <w:rFonts w:hint="eastAsia" w:ascii="宋体" w:hAnsi="宋体" w:cs="宋体"/>
                <w:color w:val="auto"/>
                <w:sz w:val="24"/>
                <w:highlight w:val="none"/>
              </w:rPr>
              <w:t>投标有效期不足将导致其投标文件投标无效。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color w:val="auto"/>
                <w:w w:val="80"/>
                <w:sz w:val="24"/>
                <w:highlight w:val="none"/>
              </w:rPr>
            </w:pPr>
            <w:r>
              <w:rPr>
                <w:rFonts w:hint="eastAsia" w:ascii="宋体"/>
                <w:color w:val="auto"/>
                <w:w w:val="80"/>
                <w:sz w:val="24"/>
                <w:highlight w:val="none"/>
              </w:rPr>
              <w:t>6</w:t>
            </w:r>
          </w:p>
        </w:tc>
        <w:tc>
          <w:tcPr>
            <w:tcW w:w="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auto"/>
                <w:sz w:val="24"/>
                <w:highlight w:val="none"/>
              </w:rPr>
            </w:pPr>
          </w:p>
        </w:tc>
        <w:tc>
          <w:tcPr>
            <w:tcW w:w="88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ascii="宋体"/>
                <w:color w:val="auto"/>
                <w:sz w:val="24"/>
                <w:highlight w:val="none"/>
              </w:rPr>
            </w:pPr>
            <w:r>
              <w:rPr>
                <w:rFonts w:hint="eastAsia" w:ascii="宋体" w:hAnsi="宋体" w:cs="宋体"/>
                <w:color w:val="auto"/>
                <w:sz w:val="24"/>
                <w:highlight w:val="none"/>
              </w:rPr>
              <w:t>未按规定缴交投标保证金的投标，将被视为无效投标。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color w:val="auto"/>
                <w:w w:val="80"/>
                <w:sz w:val="24"/>
                <w:highlight w:val="none"/>
              </w:rPr>
            </w:pPr>
            <w:r>
              <w:rPr>
                <w:rFonts w:hint="eastAsia" w:ascii="宋体" w:hAnsi="宋体" w:cs="宋体"/>
                <w:color w:val="auto"/>
                <w:w w:val="80"/>
                <w:sz w:val="24"/>
                <w:highlight w:val="none"/>
              </w:rPr>
              <w:t>7</w:t>
            </w:r>
          </w:p>
        </w:tc>
        <w:tc>
          <w:tcPr>
            <w:tcW w:w="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auto"/>
                <w:sz w:val="24"/>
                <w:highlight w:val="none"/>
              </w:rPr>
            </w:pPr>
          </w:p>
        </w:tc>
        <w:tc>
          <w:tcPr>
            <w:tcW w:w="88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ascii="宋体"/>
                <w:color w:val="auto"/>
                <w:sz w:val="24"/>
                <w:highlight w:val="none"/>
                <w:shd w:val="pct10" w:color="auto" w:fill="FFFFFF"/>
              </w:rPr>
            </w:pPr>
            <w:r>
              <w:rPr>
                <w:rFonts w:hint="eastAsia" w:ascii="宋体" w:hAnsi="宋体" w:cs="宋体"/>
                <w:color w:val="auto"/>
                <w:sz w:val="24"/>
                <w:highlight w:val="none"/>
              </w:rPr>
              <w:t>投标文件的格式：未按招标文件规定的格式填写、编制、制作、装订投标文件的、投标文件字迹模糊不清的，其投标将被拒绝。具体规定详见本章本条款号内容。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color w:val="auto"/>
                <w:w w:val="80"/>
                <w:sz w:val="24"/>
                <w:highlight w:val="none"/>
              </w:rPr>
            </w:pPr>
            <w:r>
              <w:rPr>
                <w:rFonts w:hint="eastAsia" w:ascii="宋体" w:hAnsi="宋体" w:cs="宋体"/>
                <w:color w:val="auto"/>
                <w:w w:val="80"/>
                <w:sz w:val="24"/>
                <w:highlight w:val="none"/>
              </w:rPr>
              <w:t>8</w:t>
            </w:r>
          </w:p>
        </w:tc>
        <w:tc>
          <w:tcPr>
            <w:tcW w:w="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auto"/>
                <w:sz w:val="24"/>
                <w:highlight w:val="none"/>
              </w:rPr>
            </w:pPr>
          </w:p>
        </w:tc>
        <w:tc>
          <w:tcPr>
            <w:tcW w:w="88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ascii="宋体"/>
                <w:color w:val="auto"/>
                <w:sz w:val="24"/>
                <w:highlight w:val="none"/>
              </w:rPr>
            </w:pPr>
            <w:r>
              <w:rPr>
                <w:rFonts w:hint="eastAsia" w:ascii="宋体" w:hAnsi="宋体" w:cs="宋体"/>
                <w:color w:val="auto"/>
                <w:sz w:val="24"/>
                <w:highlight w:val="none"/>
              </w:rPr>
              <w:t>投标文件未密封将导致投标被拒绝。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color w:val="auto"/>
                <w:w w:val="80"/>
                <w:sz w:val="24"/>
                <w:highlight w:val="none"/>
              </w:rPr>
            </w:pPr>
            <w:r>
              <w:rPr>
                <w:rFonts w:hint="eastAsia" w:ascii="宋体" w:hAnsi="宋体" w:cs="宋体"/>
                <w:color w:val="auto"/>
                <w:w w:val="80"/>
                <w:sz w:val="24"/>
                <w:highlight w:val="none"/>
              </w:rPr>
              <w:t>9</w:t>
            </w:r>
          </w:p>
        </w:tc>
        <w:tc>
          <w:tcPr>
            <w:tcW w:w="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auto"/>
                <w:sz w:val="24"/>
                <w:highlight w:val="none"/>
              </w:rPr>
            </w:pPr>
          </w:p>
        </w:tc>
        <w:tc>
          <w:tcPr>
            <w:tcW w:w="88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ascii="宋体"/>
                <w:color w:val="auto"/>
                <w:sz w:val="24"/>
                <w:highlight w:val="none"/>
              </w:rPr>
            </w:pPr>
            <w:r>
              <w:rPr>
                <w:rFonts w:hint="eastAsia" w:ascii="宋体" w:hAnsi="宋体" w:cs="宋体"/>
                <w:color w:val="auto"/>
                <w:sz w:val="24"/>
                <w:highlight w:val="none"/>
              </w:rPr>
              <w:t>投标人在投标截止期后修改投标文件的，其投标无效。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color w:val="auto"/>
                <w:w w:val="80"/>
                <w:sz w:val="24"/>
                <w:highlight w:val="none"/>
              </w:rPr>
            </w:pPr>
            <w:r>
              <w:rPr>
                <w:rFonts w:ascii="宋体" w:hAnsi="宋体" w:cs="宋体"/>
                <w:color w:val="auto"/>
                <w:w w:val="80"/>
                <w:sz w:val="24"/>
                <w:highlight w:val="none"/>
              </w:rPr>
              <w:t>1</w:t>
            </w:r>
            <w:r>
              <w:rPr>
                <w:rFonts w:hint="eastAsia" w:ascii="宋体" w:hAnsi="宋体" w:cs="宋体"/>
                <w:color w:val="auto"/>
                <w:w w:val="80"/>
                <w:sz w:val="24"/>
                <w:highlight w:val="none"/>
              </w:rPr>
              <w:t>0</w:t>
            </w:r>
          </w:p>
        </w:tc>
        <w:tc>
          <w:tcPr>
            <w:tcW w:w="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auto"/>
                <w:sz w:val="24"/>
                <w:highlight w:val="none"/>
              </w:rPr>
            </w:pPr>
          </w:p>
        </w:tc>
        <w:tc>
          <w:tcPr>
            <w:tcW w:w="88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ascii="宋体"/>
                <w:color w:val="auto"/>
                <w:sz w:val="24"/>
                <w:highlight w:val="none"/>
              </w:rPr>
            </w:pPr>
            <w:r>
              <w:rPr>
                <w:rFonts w:hint="eastAsia" w:ascii="宋体" w:hAnsi="宋体" w:cs="宋体"/>
                <w:color w:val="auto"/>
                <w:sz w:val="24"/>
                <w:highlight w:val="none"/>
              </w:rPr>
              <w:t>投标人任何试图影响评标委员会对投标文件的评估、比较或者推荐候选人的行为，都将导致其投标无效，投标保证金不予退还。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4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color w:val="auto"/>
                <w:w w:val="80"/>
                <w:sz w:val="24"/>
                <w:highlight w:val="none"/>
              </w:rPr>
            </w:pPr>
            <w:r>
              <w:rPr>
                <w:rFonts w:ascii="宋体" w:hAnsi="宋体" w:cs="宋体"/>
                <w:color w:val="auto"/>
                <w:w w:val="80"/>
                <w:sz w:val="24"/>
                <w:highlight w:val="none"/>
              </w:rPr>
              <w:t>1</w:t>
            </w:r>
            <w:r>
              <w:rPr>
                <w:rFonts w:hint="eastAsia" w:ascii="宋体" w:hAnsi="宋体" w:cs="宋体"/>
                <w:color w:val="auto"/>
                <w:w w:val="80"/>
                <w:sz w:val="24"/>
                <w:highlight w:val="none"/>
              </w:rPr>
              <w:t>1</w:t>
            </w:r>
          </w:p>
        </w:tc>
        <w:tc>
          <w:tcPr>
            <w:tcW w:w="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auto"/>
                <w:sz w:val="24"/>
                <w:highlight w:val="none"/>
              </w:rPr>
            </w:pPr>
          </w:p>
        </w:tc>
        <w:tc>
          <w:tcPr>
            <w:tcW w:w="88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ascii="宋体"/>
                <w:color w:val="auto"/>
                <w:sz w:val="24"/>
                <w:highlight w:val="none"/>
              </w:rPr>
            </w:pPr>
            <w:r>
              <w:rPr>
                <w:rFonts w:hint="eastAsia" w:ascii="宋体" w:hAnsi="宋体" w:cs="宋体"/>
                <w:color w:val="auto"/>
                <w:sz w:val="24"/>
                <w:highlight w:val="none"/>
              </w:rPr>
              <w:t>对没有实质性响应的投标文件将不进行评估，其投标无效。具体规定详见本章本条款号内容。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color w:val="auto"/>
                <w:w w:val="80"/>
                <w:sz w:val="24"/>
                <w:highlight w:val="none"/>
              </w:rPr>
            </w:pPr>
            <w:r>
              <w:rPr>
                <w:rFonts w:ascii="宋体" w:hAnsi="宋体" w:cs="宋体"/>
                <w:color w:val="auto"/>
                <w:w w:val="80"/>
                <w:sz w:val="24"/>
                <w:highlight w:val="none"/>
              </w:rPr>
              <w:t>1</w:t>
            </w:r>
            <w:r>
              <w:rPr>
                <w:rFonts w:hint="eastAsia" w:ascii="宋体" w:hAnsi="宋体" w:cs="宋体"/>
                <w:color w:val="auto"/>
                <w:w w:val="80"/>
                <w:sz w:val="24"/>
                <w:highlight w:val="none"/>
              </w:rPr>
              <w:t>2</w:t>
            </w:r>
          </w:p>
        </w:tc>
        <w:tc>
          <w:tcPr>
            <w:tcW w:w="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auto"/>
                <w:sz w:val="24"/>
                <w:highlight w:val="none"/>
              </w:rPr>
            </w:pPr>
          </w:p>
        </w:tc>
        <w:tc>
          <w:tcPr>
            <w:tcW w:w="88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2"/>
              <w:textAlignment w:val="auto"/>
              <w:rPr>
                <w:rFonts w:ascii="宋体"/>
                <w:color w:val="auto"/>
                <w:sz w:val="24"/>
                <w:highlight w:val="none"/>
              </w:rPr>
            </w:pPr>
            <w:r>
              <w:rPr>
                <w:rFonts w:hint="eastAsia" w:ascii="宋体" w:hAnsi="宋体" w:cs="宋体"/>
                <w:color w:val="auto"/>
                <w:sz w:val="24"/>
                <w:highlight w:val="none"/>
              </w:rPr>
              <w:t>重大偏差：存在招标文件规定属于重大偏差情形的，投标文件也将被视为未实质性响应招标文件要求，其投标无效。具体规定详见本章本条款号内容。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color w:val="auto"/>
                <w:w w:val="80"/>
                <w:sz w:val="24"/>
                <w:highlight w:val="none"/>
              </w:rPr>
            </w:pPr>
            <w:r>
              <w:rPr>
                <w:rFonts w:ascii="宋体" w:hAnsi="宋体" w:cs="宋体"/>
                <w:color w:val="auto"/>
                <w:w w:val="80"/>
                <w:sz w:val="24"/>
                <w:highlight w:val="none"/>
              </w:rPr>
              <w:t>1</w:t>
            </w:r>
            <w:r>
              <w:rPr>
                <w:rFonts w:hint="eastAsia" w:ascii="宋体" w:hAnsi="宋体" w:cs="宋体"/>
                <w:color w:val="auto"/>
                <w:w w:val="80"/>
                <w:sz w:val="24"/>
                <w:highlight w:val="none"/>
              </w:rPr>
              <w:t>3</w:t>
            </w:r>
          </w:p>
        </w:tc>
        <w:tc>
          <w:tcPr>
            <w:tcW w:w="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auto"/>
                <w:sz w:val="24"/>
                <w:highlight w:val="none"/>
              </w:rPr>
            </w:pPr>
          </w:p>
        </w:tc>
        <w:tc>
          <w:tcPr>
            <w:tcW w:w="8878" w:type="dxa"/>
            <w:gridSpan w:val="3"/>
            <w:noWrap w:val="0"/>
            <w:vAlign w:val="center"/>
          </w:tcPr>
          <w:p>
            <w:pPr>
              <w:pStyle w:val="8"/>
              <w:keepNext w:val="0"/>
              <w:keepLines w:val="0"/>
              <w:pageBreakBefore w:val="0"/>
              <w:widowControl w:val="0"/>
              <w:kinsoku/>
              <w:wordWrap/>
              <w:overflowPunct/>
              <w:topLinePunct w:val="0"/>
              <w:autoSpaceDE/>
              <w:autoSpaceDN/>
              <w:bidi w:val="0"/>
              <w:adjustRightInd/>
              <w:snapToGrid/>
              <w:spacing w:line="340" w:lineRule="exact"/>
              <w:ind w:left="0" w:leftChars="0" w:firstLine="482" w:firstLineChars="0"/>
              <w:textAlignment w:val="auto"/>
              <w:rPr>
                <w:rFonts w:ascii="宋体"/>
                <w:color w:val="auto"/>
                <w:sz w:val="24"/>
                <w:highlight w:val="none"/>
              </w:rPr>
            </w:pPr>
            <w:r>
              <w:rPr>
                <w:rFonts w:hint="eastAsia" w:ascii="宋体" w:hAnsi="宋体" w:cs="宋体"/>
                <w:color w:val="auto"/>
                <w:sz w:val="24"/>
                <w:highlight w:val="none"/>
              </w:rPr>
              <w:t>评标委员会在评标过程中发现投标人存在招标文件规定情形之一的，可认定其有串通投标行为，并做出其投标无效的决定。具体规定详见本章本条款号内容。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color w:val="auto"/>
                <w:w w:val="80"/>
                <w:sz w:val="24"/>
                <w:highlight w:val="none"/>
              </w:rPr>
            </w:pPr>
            <w:r>
              <w:rPr>
                <w:rFonts w:ascii="宋体" w:hAnsi="宋体" w:cs="宋体"/>
                <w:color w:val="auto"/>
                <w:w w:val="80"/>
                <w:sz w:val="24"/>
                <w:highlight w:val="none"/>
              </w:rPr>
              <w:t>1</w:t>
            </w:r>
            <w:r>
              <w:rPr>
                <w:rFonts w:hint="eastAsia" w:ascii="宋体" w:hAnsi="宋体" w:cs="宋体"/>
                <w:color w:val="auto"/>
                <w:w w:val="80"/>
                <w:sz w:val="24"/>
                <w:highlight w:val="none"/>
              </w:rPr>
              <w:t>4</w:t>
            </w:r>
          </w:p>
        </w:tc>
        <w:tc>
          <w:tcPr>
            <w:tcW w:w="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auto"/>
                <w:sz w:val="24"/>
                <w:highlight w:val="none"/>
              </w:rPr>
            </w:pPr>
          </w:p>
        </w:tc>
        <w:tc>
          <w:tcPr>
            <w:tcW w:w="88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2"/>
              <w:textAlignment w:val="auto"/>
              <w:rPr>
                <w:rFonts w:ascii="宋体"/>
                <w:color w:val="auto"/>
                <w:sz w:val="24"/>
                <w:highlight w:val="none"/>
              </w:rPr>
            </w:pPr>
            <w:r>
              <w:rPr>
                <w:rFonts w:hint="eastAsia" w:ascii="宋体" w:hAnsi="宋体" w:cs="宋体"/>
                <w:color w:val="auto"/>
                <w:sz w:val="24"/>
                <w:highlight w:val="none"/>
              </w:rPr>
              <w:t>评标委员会认为投标人的报价明显低于其他通过实质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color w:val="auto"/>
                <w:w w:val="80"/>
                <w:sz w:val="24"/>
                <w:highlight w:val="none"/>
              </w:rPr>
            </w:pPr>
            <w:r>
              <w:rPr>
                <w:rFonts w:ascii="宋体" w:hAnsi="宋体" w:cs="宋体"/>
                <w:color w:val="auto"/>
                <w:w w:val="80"/>
                <w:sz w:val="24"/>
                <w:highlight w:val="none"/>
              </w:rPr>
              <w:t>1</w:t>
            </w:r>
            <w:r>
              <w:rPr>
                <w:rFonts w:hint="eastAsia" w:ascii="宋体" w:hAnsi="宋体" w:cs="宋体"/>
                <w:color w:val="auto"/>
                <w:w w:val="80"/>
                <w:sz w:val="24"/>
                <w:highlight w:val="none"/>
              </w:rPr>
              <w:t>5</w:t>
            </w:r>
          </w:p>
        </w:tc>
        <w:tc>
          <w:tcPr>
            <w:tcW w:w="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auto"/>
                <w:sz w:val="24"/>
                <w:highlight w:val="none"/>
              </w:rPr>
            </w:pPr>
          </w:p>
        </w:tc>
        <w:tc>
          <w:tcPr>
            <w:tcW w:w="88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2"/>
              <w:textAlignment w:val="auto"/>
              <w:rPr>
                <w:rFonts w:ascii="宋体"/>
                <w:color w:val="auto"/>
                <w:sz w:val="24"/>
                <w:highlight w:val="none"/>
              </w:rPr>
            </w:pPr>
            <w:r>
              <w:rPr>
                <w:rFonts w:hint="eastAsia" w:ascii="宋体" w:hAnsi="宋体" w:cs="宋体"/>
                <w:color w:val="auto"/>
                <w:sz w:val="24"/>
                <w:highlight w:val="none"/>
              </w:rPr>
              <w:t>如果投标人不接受按招标文件规定的方法对投标文件中的算术错误进行更正的，其投标无效，投标保证金不予退还。具体规定详见本章本条款号内容。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color w:val="auto"/>
                <w:w w:val="80"/>
                <w:sz w:val="24"/>
                <w:highlight w:val="none"/>
              </w:rPr>
            </w:pPr>
            <w:r>
              <w:rPr>
                <w:rFonts w:ascii="宋体" w:hAnsi="宋体" w:cs="宋体"/>
                <w:color w:val="auto"/>
                <w:w w:val="80"/>
                <w:sz w:val="24"/>
                <w:highlight w:val="none"/>
              </w:rPr>
              <w:t>1</w:t>
            </w:r>
            <w:r>
              <w:rPr>
                <w:rFonts w:hint="eastAsia" w:ascii="宋体" w:hAnsi="宋体" w:cs="宋体"/>
                <w:color w:val="auto"/>
                <w:w w:val="80"/>
                <w:sz w:val="24"/>
                <w:highlight w:val="none"/>
              </w:rPr>
              <w:t>6</w:t>
            </w:r>
          </w:p>
        </w:tc>
        <w:tc>
          <w:tcPr>
            <w:tcW w:w="940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auto"/>
                <w:sz w:val="24"/>
                <w:highlight w:val="none"/>
              </w:rPr>
            </w:pPr>
            <w:r>
              <w:rPr>
                <w:rFonts w:hint="eastAsia" w:ascii="宋体" w:hAnsi="宋体" w:cs="宋体"/>
                <w:color w:val="auto"/>
                <w:sz w:val="24"/>
                <w:highlight w:val="none"/>
              </w:rPr>
              <w:t>不满足招标文件第五章“招标内容及要求”</w:t>
            </w:r>
            <w:r>
              <w:rPr>
                <w:rFonts w:ascii="宋体" w:hAnsi="宋体" w:cs="宋体"/>
                <w:color w:val="auto"/>
                <w:sz w:val="24"/>
                <w:highlight w:val="none"/>
              </w:rPr>
              <w:t xml:space="preserve"> </w:t>
            </w:r>
            <w:r>
              <w:rPr>
                <w:rFonts w:hint="eastAsia" w:ascii="宋体" w:hAnsi="宋体" w:cs="宋体"/>
                <w:color w:val="auto"/>
                <w:sz w:val="24"/>
                <w:highlight w:val="none"/>
              </w:rPr>
              <w:t>中带</w:t>
            </w:r>
            <w:r>
              <w:rPr>
                <w:rFonts w:hint="eastAsia" w:ascii="宋体" w:hAnsi="宋体" w:cs="宋体"/>
                <w:b/>
                <w:bCs/>
                <w:color w:val="auto"/>
                <w:spacing w:val="-12"/>
                <w:sz w:val="24"/>
                <w:highlight w:val="none"/>
              </w:rPr>
              <w:t>★号条款之</w:t>
            </w:r>
            <w:r>
              <w:rPr>
                <w:rFonts w:hint="eastAsia" w:ascii="宋体" w:hAnsi="宋体" w:cs="宋体"/>
                <w:color w:val="auto"/>
                <w:sz w:val="24"/>
                <w:highlight w:val="none"/>
              </w:rPr>
              <w:t>规定的将导致投标无效。具体详见第五章</w:t>
            </w:r>
            <w:r>
              <w:rPr>
                <w:rFonts w:hint="eastAsia" w:ascii="宋体" w:hAnsi="宋体" w:cs="宋体"/>
                <w:b/>
                <w:bCs/>
                <w:color w:val="auto"/>
                <w:spacing w:val="-12"/>
                <w:sz w:val="24"/>
                <w:highlight w:val="none"/>
              </w:rPr>
              <w:t>★号</w:t>
            </w:r>
            <w:r>
              <w:rPr>
                <w:rFonts w:hint="eastAsia" w:ascii="宋体" w:hAnsi="宋体" w:cs="宋体"/>
                <w:color w:val="auto"/>
                <w:sz w:val="24"/>
                <w:highlight w:val="none"/>
              </w:rPr>
              <w:t>条款号内容。</w:t>
            </w:r>
          </w:p>
        </w:tc>
      </w:tr>
    </w:tbl>
    <w:p>
      <w:pPr>
        <w:pStyle w:val="19"/>
        <w:rPr>
          <w:color w:val="auto"/>
          <w:highlight w:val="none"/>
        </w:rPr>
      </w:pPr>
    </w:p>
    <w:p>
      <w:pPr>
        <w:pStyle w:val="19"/>
        <w:jc w:val="center"/>
        <w:outlineLvl w:val="1"/>
        <w:rPr>
          <w:color w:val="auto"/>
          <w:highlight w:val="none"/>
        </w:rPr>
      </w:pPr>
      <w:r>
        <w:rPr>
          <w:b/>
          <w:color w:val="auto"/>
          <w:sz w:val="36"/>
          <w:highlight w:val="none"/>
        </w:rPr>
        <w:t>第三章</w:t>
      </w:r>
      <w:r>
        <w:rPr>
          <w:rFonts w:hint="eastAsia"/>
          <w:b/>
          <w:color w:val="auto"/>
          <w:sz w:val="36"/>
          <w:highlight w:val="none"/>
          <w:lang w:val="en-US" w:eastAsia="zh-CN"/>
        </w:rPr>
        <w:t xml:space="preserve">  </w:t>
      </w:r>
      <w:r>
        <w:rPr>
          <w:b/>
          <w:color w:val="auto"/>
          <w:sz w:val="36"/>
          <w:highlight w:val="none"/>
        </w:rPr>
        <w:t>投标人须知</w:t>
      </w:r>
    </w:p>
    <w:p>
      <w:pPr>
        <w:pStyle w:val="19"/>
        <w:keepNext w:val="0"/>
        <w:keepLines w:val="0"/>
        <w:pageBreakBefore w:val="0"/>
        <w:widowControl/>
        <w:kinsoku/>
        <w:wordWrap/>
        <w:overflowPunct/>
        <w:topLinePunct w:val="0"/>
        <w:autoSpaceDE/>
        <w:autoSpaceDN/>
        <w:bidi w:val="0"/>
        <w:adjustRightInd/>
        <w:snapToGrid/>
        <w:spacing w:line="394" w:lineRule="exact"/>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一、总则</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1、适用范围</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1.1适用于招标文件载明项目的政府采购活动（以下简称：“本次采购活动”）。</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2、定义</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2.1“采购标的”指招标文件载明的需要采购的货物或服务。</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2.2“潜在投标人”指按照招标文件第一章第7条规定获取招标文件且有意向参加本项目投标的供应商。</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2.3“投标人”指按照招标文件第一章第7条规定获取招标文件并参加本项目投标的供应商。</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2.4“单位负责人”指单位法定代表人或法律、法规规定代表单位行使职权的主要负责人。</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2.5“投标人代表”指投标人的单位负责人或“单位负责人授权书”中载明的接受授权方。</w:t>
      </w:r>
    </w:p>
    <w:p>
      <w:pPr>
        <w:pStyle w:val="19"/>
        <w:keepNext w:val="0"/>
        <w:keepLines w:val="0"/>
        <w:pageBreakBefore w:val="0"/>
        <w:widowControl/>
        <w:kinsoku/>
        <w:wordWrap/>
        <w:overflowPunct/>
        <w:topLinePunct w:val="0"/>
        <w:autoSpaceDE/>
        <w:autoSpaceDN/>
        <w:bidi w:val="0"/>
        <w:adjustRightInd/>
        <w:snapToGrid/>
        <w:spacing w:line="394" w:lineRule="exact"/>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二、投标人</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3、合格投标人</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3.1一般规定</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（2）投标人的资格要求：详见招标文件第一章。</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3.2若本项目接受联合体投标且投标人为联合体，则联合体各方应遵守本章第3.1条规定，同时还应遵守下列规定：</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（1）联合体各方应提交联合体协议，联合体协议应符合招标文件规定。</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（2）联合体各方不得再单独参加或与其他供应商另外组成联合体参加同一合同项下的投标。</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（3）联合体各方应共同与采购人签订政府采购合同，就政府采购合同约定的事项对采购人承担连带责任。</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（5）联合体一方放弃中标的，视为联合体整体放弃中标，联合体各方承担连带责任。</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（6）如本项目不接受联合体投标而投标人为联合体的，或者本项目接受联合体投标但投标人组成的联合体不符合本章第3.2条规定的，投标无效。</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4、投标费用</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4.1除招标文件另有规定外，投标人应自行承担其参加本项目投标所涉及的一切费用。</w:t>
      </w:r>
    </w:p>
    <w:p>
      <w:pPr>
        <w:pStyle w:val="19"/>
        <w:keepNext w:val="0"/>
        <w:keepLines w:val="0"/>
        <w:pageBreakBefore w:val="0"/>
        <w:widowControl/>
        <w:kinsoku/>
        <w:wordWrap/>
        <w:overflowPunct/>
        <w:topLinePunct w:val="0"/>
        <w:autoSpaceDE/>
        <w:autoSpaceDN/>
        <w:bidi w:val="0"/>
        <w:adjustRightInd/>
        <w:snapToGrid/>
        <w:spacing w:line="394" w:lineRule="exact"/>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三、招标</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5、招标文件</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5.1招标文件由下述部分组成：</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（1）投标邀请</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（2）投标人须知前附表（表1、2）</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（3）投标人须知</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（4）资格审查与评标</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（5）招标内容及要求</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（6）政府采购合同（参考文本）</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投标文件格式</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（8）按照招标文件规定作为招标文件组成部分的其他内容（若有）</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5.2招标文件的澄清或修改</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福建吉瑞招标代理有限公司</w:t>
      </w:r>
      <w:r>
        <w:rPr>
          <w:rFonts w:hint="eastAsia" w:ascii="宋体" w:hAnsi="宋体" w:eastAsia="宋体" w:cs="宋体"/>
          <w:color w:val="auto"/>
          <w:sz w:val="24"/>
          <w:szCs w:val="24"/>
          <w:highlight w:val="none"/>
        </w:rPr>
        <w:t>可对已发出的招标文件进行必要的澄清或修改，但不得对招标文件载明的采购标的和投标人的资格要求进行改变。</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（2）除本章第5.2条第（3）款规定情形外，澄清或修改的内容可能影响投标文件编制的，</w:t>
      </w:r>
      <w:r>
        <w:rPr>
          <w:rFonts w:hint="eastAsia" w:ascii="宋体" w:hAnsi="宋体" w:eastAsia="宋体" w:cs="宋体"/>
          <w:color w:val="auto"/>
          <w:sz w:val="24"/>
          <w:szCs w:val="24"/>
          <w:highlight w:val="none"/>
          <w:lang w:eastAsia="zh-CN"/>
        </w:rPr>
        <w:t>福建吉瑞招标代理有限公司</w:t>
      </w:r>
      <w:r>
        <w:rPr>
          <w:rFonts w:hint="eastAsia" w:ascii="宋体" w:hAnsi="宋体" w:eastAsia="宋体" w:cs="宋体"/>
          <w:color w:val="auto"/>
          <w:sz w:val="24"/>
          <w:szCs w:val="24"/>
          <w:highlight w:val="none"/>
        </w:rPr>
        <w:t>将在投标截止时间至少15个日历日前，在招标文件载明的指定媒体以更正公告的形式发布澄清或修改的内容。不足15个日历日的，</w:t>
      </w:r>
      <w:r>
        <w:rPr>
          <w:rFonts w:hint="eastAsia" w:ascii="宋体" w:hAnsi="宋体" w:eastAsia="宋体" w:cs="宋体"/>
          <w:color w:val="auto"/>
          <w:sz w:val="24"/>
          <w:szCs w:val="24"/>
          <w:highlight w:val="none"/>
          <w:lang w:eastAsia="zh-CN"/>
        </w:rPr>
        <w:t>福建吉瑞招标代理有限公司</w:t>
      </w:r>
      <w:r>
        <w:rPr>
          <w:rFonts w:hint="eastAsia" w:ascii="宋体" w:hAnsi="宋体" w:eastAsia="宋体" w:cs="宋体"/>
          <w:color w:val="auto"/>
          <w:sz w:val="24"/>
          <w:szCs w:val="24"/>
          <w:highlight w:val="none"/>
        </w:rPr>
        <w:t xml:space="preserve">将顺延投标截止时间及开标时间， </w:t>
      </w:r>
      <w:r>
        <w:rPr>
          <w:rFonts w:hint="eastAsia" w:ascii="宋体" w:hAnsi="宋体" w:eastAsia="宋体" w:cs="宋体"/>
          <w:color w:val="auto"/>
          <w:sz w:val="24"/>
          <w:szCs w:val="24"/>
          <w:highlight w:val="none"/>
          <w:lang w:eastAsia="zh-CN"/>
        </w:rPr>
        <w:t>福建吉瑞招标代理有限公司</w:t>
      </w:r>
      <w:r>
        <w:rPr>
          <w:rFonts w:hint="eastAsia" w:ascii="宋体" w:hAnsi="宋体" w:eastAsia="宋体" w:cs="宋体"/>
          <w:color w:val="auto"/>
          <w:sz w:val="24"/>
          <w:szCs w:val="24"/>
          <w:highlight w:val="none"/>
        </w:rPr>
        <w:t xml:space="preserve"> 和投标人受原投标截止时间及开标时间制约的所有权利和义务均延长至新的投标截止时间及开标时间。</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（3）澄清或修改的内容可能改变招标文件载明的采购标的和投标人的资格要求的，本次采购活动结束，</w:t>
      </w:r>
      <w:r>
        <w:rPr>
          <w:rFonts w:hint="eastAsia" w:ascii="宋体" w:hAnsi="宋体" w:eastAsia="宋体" w:cs="宋体"/>
          <w:color w:val="auto"/>
          <w:sz w:val="24"/>
          <w:szCs w:val="24"/>
          <w:highlight w:val="none"/>
          <w:lang w:eastAsia="zh-CN"/>
        </w:rPr>
        <w:t>福建吉瑞招标代理有限公司</w:t>
      </w:r>
      <w:r>
        <w:rPr>
          <w:rFonts w:hint="eastAsia" w:ascii="宋体" w:hAnsi="宋体" w:eastAsia="宋体" w:cs="宋体"/>
          <w:color w:val="auto"/>
          <w:sz w:val="24"/>
          <w:szCs w:val="24"/>
          <w:highlight w:val="none"/>
        </w:rPr>
        <w:t>将依法组织后续采购活动（包括但不限于：重新招标、采用其他方式采购等）。</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6、现场考察或开标前答疑会</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6.1是否组织现场考察或召开开标前答疑会：详见招标文件第二章。</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7、更正公告</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7.1若</w:t>
      </w:r>
      <w:r>
        <w:rPr>
          <w:rFonts w:hint="eastAsia" w:ascii="宋体" w:hAnsi="宋体" w:eastAsia="宋体" w:cs="宋体"/>
          <w:color w:val="auto"/>
          <w:sz w:val="24"/>
          <w:szCs w:val="24"/>
          <w:highlight w:val="none"/>
          <w:lang w:eastAsia="zh-CN"/>
        </w:rPr>
        <w:t>福建吉瑞招标代理有限公司</w:t>
      </w:r>
      <w:r>
        <w:rPr>
          <w:rFonts w:hint="eastAsia" w:ascii="宋体" w:hAnsi="宋体" w:eastAsia="宋体" w:cs="宋体"/>
          <w:color w:val="auto"/>
          <w:sz w:val="24"/>
          <w:szCs w:val="24"/>
          <w:highlight w:val="none"/>
        </w:rPr>
        <w:t>发布更正公告，则更正公告及其所发布的内容或信息（包括但不限于：招标文件的澄清或修改、现场考察或答疑会的有关事宜等）作为招标文件组成部分，对投标人具有约束力。</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7.2更正公告作为</w:t>
      </w:r>
      <w:r>
        <w:rPr>
          <w:rFonts w:hint="eastAsia" w:ascii="宋体" w:hAnsi="宋体" w:eastAsia="宋体" w:cs="宋体"/>
          <w:color w:val="auto"/>
          <w:sz w:val="24"/>
          <w:szCs w:val="24"/>
          <w:highlight w:val="none"/>
          <w:lang w:eastAsia="zh-CN"/>
        </w:rPr>
        <w:t>福建吉瑞招标代理有限公司</w:t>
      </w:r>
      <w:r>
        <w:rPr>
          <w:rFonts w:hint="eastAsia" w:ascii="宋体" w:hAnsi="宋体" w:eastAsia="宋体" w:cs="宋体"/>
          <w:color w:val="auto"/>
          <w:sz w:val="24"/>
          <w:szCs w:val="24"/>
          <w:highlight w:val="none"/>
        </w:rPr>
        <w:t>通知所有潜在投标人的书面形式。</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8、终止公告</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8.1若出现因重大变故导致采购任务取消情形，</w:t>
      </w:r>
      <w:r>
        <w:rPr>
          <w:rFonts w:hint="eastAsia" w:ascii="宋体" w:hAnsi="宋体" w:eastAsia="宋体" w:cs="宋体"/>
          <w:color w:val="auto"/>
          <w:sz w:val="24"/>
          <w:szCs w:val="24"/>
          <w:highlight w:val="none"/>
          <w:lang w:eastAsia="zh-CN"/>
        </w:rPr>
        <w:t>福建吉瑞招标代理有限公司</w:t>
      </w:r>
      <w:r>
        <w:rPr>
          <w:rFonts w:hint="eastAsia" w:ascii="宋体" w:hAnsi="宋体" w:eastAsia="宋体" w:cs="宋体"/>
          <w:color w:val="auto"/>
          <w:sz w:val="24"/>
          <w:szCs w:val="24"/>
          <w:highlight w:val="none"/>
        </w:rPr>
        <w:t>可终止招标并发布终止公告。</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8.2终止公告作为</w:t>
      </w:r>
      <w:r>
        <w:rPr>
          <w:rFonts w:hint="eastAsia" w:ascii="宋体" w:hAnsi="宋体" w:eastAsia="宋体" w:cs="宋体"/>
          <w:color w:val="auto"/>
          <w:sz w:val="24"/>
          <w:szCs w:val="24"/>
          <w:highlight w:val="none"/>
          <w:lang w:eastAsia="zh-CN"/>
        </w:rPr>
        <w:t>福建吉瑞招标代理有限公司</w:t>
      </w:r>
      <w:r>
        <w:rPr>
          <w:rFonts w:hint="eastAsia" w:ascii="宋体" w:hAnsi="宋体" w:eastAsia="宋体" w:cs="宋体"/>
          <w:color w:val="auto"/>
          <w:sz w:val="24"/>
          <w:szCs w:val="24"/>
          <w:highlight w:val="none"/>
        </w:rPr>
        <w:t>通知所有潜在投标人的书面形式。</w:t>
      </w:r>
    </w:p>
    <w:p>
      <w:pPr>
        <w:pStyle w:val="19"/>
        <w:keepNext w:val="0"/>
        <w:keepLines w:val="0"/>
        <w:pageBreakBefore w:val="0"/>
        <w:widowControl/>
        <w:kinsoku/>
        <w:wordWrap/>
        <w:overflowPunct/>
        <w:topLinePunct w:val="0"/>
        <w:autoSpaceDE/>
        <w:autoSpaceDN/>
        <w:bidi w:val="0"/>
        <w:adjustRightInd/>
        <w:snapToGrid/>
        <w:spacing w:line="394" w:lineRule="exact"/>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四、投标</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9、投标</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9.1投标人可对招标文件载明的全部或部分</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进行投标。</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9.2投标人应对同一个</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内的所有内容进行完整投标，否则投标无效。</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9.3投标人代表只能接受一个投标人的授权参加投标，否则投标无效。</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9.4单位负责人为同一人或存在直接控股、管理关系的不同供应商，不得同时参加同一合同项下的投标，否则投标无效。</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9.5为本项目提供整体设计、规范编制或项目管理、监理、检测等服务的供应商，不得参加本项目除整体设计、规范编制和项目管理、监理、检测等服务外的采购活动，否则投标无效。</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9.6列入失信被执行人、重大税收违法案件当事人名单、政府采购严重违法失信行为记录名单及其他不符合政府采购法第二十二条规定条件的供应商，不得参加投标，否则投标无效。</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9.7有下列情形之一的，视为投标人串通投标，其投标无效：</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（1）不同投标人的投标文件由同一单位或个人编制；</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（2）不同投标人委托同一单位或个人办理投标事宜；</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（3）不同投标人的投标文件载明的项目管理成员或联系人员为同一人；</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（4）不同投标人的投标文件异常一致或投标报价呈规律性差异；</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（5）不同投标人的投标文件相互混装；</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（6）不同投标人的投标保证金从同一单位或个人的账户转出；</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（7）有关法律、法规和规章及招标文件规定的其他串通投标情形。</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10、投标文件</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10.1投标文件的编制</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（1）投标人应先仔细阅读招标文件的全部内容后，再进行投标文件的编制。</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（2）投标文件应按照本章第10.2条规定编制其组成部分。</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（3）投标文件应满足招标文件提出的实质性要求和条件，并保证其所提交的全部资料是不可割离且真实、有效、准确、完整和不具有任何误导性的，否则造成不利后果由投标人承担责任。</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10.2投标文件由下述部分组成：</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（1）报价部分</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①开标一览表</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②投标分项报价表</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③招标文件规定的价格扣除证明材料（若有）</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（2）技术商务部分</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①投标书</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②货物说明一览表</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③供货范围清单</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④</w:t>
      </w:r>
      <w:r>
        <w:rPr>
          <w:rFonts w:hint="eastAsia" w:ascii="宋体" w:hAnsi="宋体" w:eastAsia="宋体" w:cs="宋体"/>
          <w:color w:val="auto"/>
          <w:sz w:val="24"/>
          <w:szCs w:val="24"/>
          <w:highlight w:val="none"/>
          <w:lang w:eastAsia="zh-CN"/>
        </w:rPr>
        <w:t>技术服务和商务偏离表</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⑤技术服务体系与维保方案</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⑥投标人的资格证明文件</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⑦“企业和投标人代表没有行贿犯罪记录”承诺函</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⑧投标人代表合法性证明</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⑨投标人提交的其他资料</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⑩招标服务费承诺书</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⑪退还投标保证金说明函</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color w:val="auto"/>
          <w:szCs w:val="24"/>
          <w:highlight w:val="none"/>
        </w:rPr>
      </w:pPr>
      <w:r>
        <w:rPr>
          <w:color w:val="auto"/>
          <w:szCs w:val="24"/>
          <w:highlight w:val="none"/>
        </w:rPr>
        <w:t>10.3投标文件的语言</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（1）除招标文件另有规定外，投标文件应使用中文文本，若有不同文本，以中文文本为准。</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color w:val="auto"/>
          <w:szCs w:val="24"/>
          <w:highlight w:val="none"/>
        </w:rPr>
      </w:pPr>
      <w:r>
        <w:rPr>
          <w:color w:val="auto"/>
          <w:szCs w:val="24"/>
          <w:highlight w:val="none"/>
        </w:rPr>
        <w:t>10.4投标文件的份数：详见招标文件第二章。</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color w:val="auto"/>
          <w:szCs w:val="24"/>
          <w:highlight w:val="none"/>
        </w:rPr>
      </w:pPr>
      <w:r>
        <w:rPr>
          <w:color w:val="auto"/>
          <w:szCs w:val="24"/>
          <w:highlight w:val="none"/>
        </w:rPr>
        <w:t>10.5投标文件的格式</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（1）除招标文件另有规定外，投标文件应使用招标文件第七章规定的格式。</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（2）除招标文件另有规定外，投标文件的正本和全部副本均应使用不能擦去的</w:t>
      </w:r>
      <w:r>
        <w:rPr>
          <w:color w:val="auto"/>
          <w:szCs w:val="24"/>
          <w:highlight w:val="none"/>
        </w:rPr>
        <w:t>墨料</w:t>
      </w:r>
      <w:r>
        <w:rPr>
          <w:color w:val="auto"/>
          <w:szCs w:val="24"/>
          <w:highlight w:val="none"/>
        </w:rPr>
        <w:t>或墨水打印、书写或复印，其中：</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①</w:t>
      </w:r>
      <w:r>
        <w:rPr>
          <w:color w:val="auto"/>
          <w:szCs w:val="24"/>
          <w:highlight w:val="none"/>
        </w:rPr>
        <w:t>正本应用A4幅面纸张打印装订，编制封面（封面标明“正本”字样）、</w:t>
      </w:r>
      <w:r>
        <w:rPr>
          <w:rFonts w:hint="eastAsia"/>
          <w:color w:val="auto"/>
          <w:szCs w:val="24"/>
          <w:highlight w:val="none"/>
        </w:rPr>
        <w:t>索引、</w:t>
      </w:r>
      <w:r>
        <w:rPr>
          <w:color w:val="auto"/>
          <w:szCs w:val="24"/>
          <w:highlight w:val="none"/>
        </w:rPr>
        <w:t>页码，并用胶装装订成册。</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②</w:t>
      </w:r>
      <w:r>
        <w:rPr>
          <w:color w:val="auto"/>
          <w:szCs w:val="24"/>
          <w:highlight w:val="none"/>
        </w:rPr>
        <w:t>副本应用A4幅面纸张打印装订，编制封面（封面标明“副本”字样）、</w:t>
      </w:r>
      <w:r>
        <w:rPr>
          <w:rFonts w:hint="eastAsia"/>
          <w:color w:val="auto"/>
          <w:szCs w:val="24"/>
          <w:highlight w:val="none"/>
        </w:rPr>
        <w:t>索引、</w:t>
      </w:r>
      <w:r>
        <w:rPr>
          <w:color w:val="auto"/>
          <w:szCs w:val="24"/>
          <w:highlight w:val="none"/>
        </w:rPr>
        <w:t>页码，并用胶装装订成册；副本可用正本的完整复印件，并与正本保持一致（若不一致，以正本为准）。</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③</w:t>
      </w:r>
      <w:r>
        <w:rPr>
          <w:color w:val="auto"/>
          <w:szCs w:val="24"/>
          <w:highlight w:val="none"/>
        </w:rPr>
        <w:t>允许散装或活页装订的内容或材料：详见招标文件第二章。</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Style w:val="16"/>
          <w:rFonts w:hint="eastAsia" w:ascii="宋体" w:hAnsi="宋体"/>
          <w:color w:val="auto"/>
          <w:szCs w:val="24"/>
          <w:highlight w:val="none"/>
        </w:rPr>
        <w:t>※</w:t>
      </w:r>
      <w:r>
        <w:rPr>
          <w:rStyle w:val="16"/>
          <w:rFonts w:ascii="宋体" w:hAnsi="宋体"/>
          <w:color w:val="auto"/>
          <w:szCs w:val="24"/>
          <w:highlight w:val="none"/>
        </w:rPr>
        <w:t>除本章第10.5条第（2）款第</w:t>
      </w:r>
      <w:r>
        <w:rPr>
          <w:rStyle w:val="16"/>
          <w:rFonts w:hint="eastAsia" w:ascii="宋体" w:hAnsi="宋体"/>
          <w:color w:val="auto"/>
          <w:szCs w:val="24"/>
          <w:highlight w:val="none"/>
        </w:rPr>
        <w:t>③</w:t>
      </w:r>
      <w:r>
        <w:rPr>
          <w:rStyle w:val="16"/>
          <w:rFonts w:ascii="宋体" w:hAnsi="宋体"/>
          <w:color w:val="auto"/>
          <w:szCs w:val="24"/>
          <w:highlight w:val="none"/>
        </w:rPr>
        <w:t>点规定情形外，投标文件散装或活页装订将导致投标无效。</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（3）除招标文件另有规定外，投标文件应使用人民币作为计量货币。</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（4）除招标文件另有规定外，签署、盖章应遵守下列规定：</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①</w:t>
      </w:r>
      <w:r>
        <w:rPr>
          <w:color w:val="auto"/>
          <w:szCs w:val="24"/>
          <w:highlight w:val="none"/>
        </w:rPr>
        <w:t>投标文件应由投标人代表签字并加盖投标人的单位公章。若投标人代表为单位</w:t>
      </w:r>
      <w:r>
        <w:rPr>
          <w:rFonts w:hint="eastAsia"/>
          <w:color w:val="auto"/>
          <w:szCs w:val="24"/>
          <w:highlight w:val="none"/>
        </w:rPr>
        <w:t>法定代表</w:t>
      </w:r>
      <w:r>
        <w:rPr>
          <w:color w:val="auto"/>
          <w:szCs w:val="24"/>
          <w:highlight w:val="none"/>
        </w:rPr>
        <w:t>人授权的委托代理人，应提供“单位</w:t>
      </w:r>
      <w:r>
        <w:rPr>
          <w:rFonts w:hint="eastAsia"/>
          <w:color w:val="auto"/>
          <w:szCs w:val="24"/>
          <w:highlight w:val="none"/>
        </w:rPr>
        <w:t>法定代表</w:t>
      </w:r>
      <w:r>
        <w:rPr>
          <w:color w:val="auto"/>
          <w:szCs w:val="24"/>
          <w:highlight w:val="none"/>
        </w:rPr>
        <w:t>人授权书”。</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②</w:t>
      </w:r>
      <w:r>
        <w:rPr>
          <w:color w:val="auto"/>
          <w:szCs w:val="24"/>
          <w:highlight w:val="none"/>
        </w:rPr>
        <w:t>投标文件应没有涂改或行间插字，除非这些改动是根据</w:t>
      </w:r>
      <w:r>
        <w:rPr>
          <w:rFonts w:hint="eastAsia"/>
          <w:color w:val="auto"/>
          <w:szCs w:val="24"/>
          <w:highlight w:val="none"/>
          <w:lang w:eastAsia="zh-CN"/>
        </w:rPr>
        <w:t>福建吉瑞招标代理有限公司</w:t>
      </w:r>
      <w:r>
        <w:rPr>
          <w:color w:val="auto"/>
          <w:szCs w:val="24"/>
          <w:highlight w:val="none"/>
        </w:rPr>
        <w:t>的指示进行的，或是为改正投标人造成的应修改的错误而进行的。若有前述改动，应按照下列规定之一对改动处进行处理：</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a.投标人代表签字确认；</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b.加盖投标人的单位公章或校正章。</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color w:val="auto"/>
          <w:szCs w:val="24"/>
          <w:highlight w:val="none"/>
        </w:rPr>
      </w:pPr>
      <w:r>
        <w:rPr>
          <w:color w:val="auto"/>
          <w:szCs w:val="24"/>
          <w:highlight w:val="none"/>
        </w:rPr>
        <w:t>10.6投标报价</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（1）除招标文件另有规定外，投标文件不能出现任何选择性的投标报价，即每一个</w:t>
      </w:r>
      <w:r>
        <w:rPr>
          <w:rFonts w:hint="eastAsia"/>
          <w:color w:val="auto"/>
          <w:szCs w:val="24"/>
          <w:highlight w:val="none"/>
          <w:lang w:eastAsia="zh-CN"/>
        </w:rPr>
        <w:t>合同包</w:t>
      </w:r>
      <w:r>
        <w:rPr>
          <w:color w:val="auto"/>
          <w:szCs w:val="24"/>
          <w:highlight w:val="none"/>
        </w:rPr>
        <w:t>和品目号的采购标的都只能有一个投标报价。任何选择性的投标报价将导致</w:t>
      </w:r>
      <w:r>
        <w:rPr>
          <w:rStyle w:val="16"/>
          <w:rFonts w:ascii="宋体" w:hAnsi="宋体"/>
          <w:color w:val="auto"/>
          <w:szCs w:val="24"/>
          <w:highlight w:val="none"/>
        </w:rPr>
        <w:t>投标无效。</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color w:val="auto"/>
          <w:szCs w:val="24"/>
          <w:highlight w:val="none"/>
        </w:rPr>
      </w:pPr>
      <w:r>
        <w:rPr>
          <w:color w:val="auto"/>
          <w:szCs w:val="24"/>
          <w:highlight w:val="none"/>
        </w:rPr>
        <w:t>10.7分包</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（1）是否允许</w:t>
      </w:r>
      <w:r>
        <w:rPr>
          <w:rFonts w:hint="eastAsia"/>
          <w:color w:val="auto"/>
          <w:szCs w:val="24"/>
          <w:highlight w:val="none"/>
          <w:lang w:eastAsia="zh-CN"/>
        </w:rPr>
        <w:t>中标供应商</w:t>
      </w:r>
      <w:r>
        <w:rPr>
          <w:color w:val="auto"/>
          <w:szCs w:val="24"/>
          <w:highlight w:val="none"/>
        </w:rPr>
        <w:t>将本项目的非主体、非关键性工作进行分包：详见招标文件第二章。</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（2）若允许</w:t>
      </w:r>
      <w:r>
        <w:rPr>
          <w:rFonts w:hint="eastAsia"/>
          <w:color w:val="auto"/>
          <w:szCs w:val="24"/>
          <w:highlight w:val="none"/>
          <w:lang w:eastAsia="zh-CN"/>
        </w:rPr>
        <w:t>中标供应商</w:t>
      </w:r>
      <w:r>
        <w:rPr>
          <w:color w:val="auto"/>
          <w:szCs w:val="24"/>
          <w:highlight w:val="none"/>
        </w:rPr>
        <w:t>将本项目的非主体、非关键性工作进行分包且投标人拟在中标后进行分包，则投标人应在投标文件中载明分包承担主体，分包承担主体应具备相应资质条件（若有）且不得再次分包。</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（3）招标文件允许</w:t>
      </w:r>
      <w:r>
        <w:rPr>
          <w:rFonts w:hint="eastAsia"/>
          <w:color w:val="auto"/>
          <w:szCs w:val="24"/>
          <w:highlight w:val="none"/>
          <w:lang w:eastAsia="zh-CN"/>
        </w:rPr>
        <w:t>中标供应商</w:t>
      </w:r>
      <w:r>
        <w:rPr>
          <w:color w:val="auto"/>
          <w:szCs w:val="24"/>
          <w:highlight w:val="none"/>
        </w:rPr>
        <w:t>将非主体、非关键性工作进行分包的项目，有下列情形之一的，</w:t>
      </w:r>
      <w:r>
        <w:rPr>
          <w:rFonts w:hint="eastAsia"/>
          <w:color w:val="auto"/>
          <w:szCs w:val="24"/>
          <w:highlight w:val="none"/>
          <w:lang w:eastAsia="zh-CN"/>
        </w:rPr>
        <w:t>中标供应商</w:t>
      </w:r>
      <w:r>
        <w:rPr>
          <w:color w:val="auto"/>
          <w:szCs w:val="24"/>
          <w:highlight w:val="none"/>
        </w:rPr>
        <w:t>不得分包：</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①</w:t>
      </w:r>
      <w:r>
        <w:rPr>
          <w:color w:val="auto"/>
          <w:szCs w:val="24"/>
          <w:highlight w:val="none"/>
        </w:rPr>
        <w:t>投标文件中未载明分包承担主体；</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②</w:t>
      </w:r>
      <w:r>
        <w:rPr>
          <w:color w:val="auto"/>
          <w:szCs w:val="24"/>
          <w:highlight w:val="none"/>
        </w:rPr>
        <w:t>投标文件载明的分包承担主体不具备相应资质条件；</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③</w:t>
      </w:r>
      <w:r>
        <w:rPr>
          <w:color w:val="auto"/>
          <w:szCs w:val="24"/>
          <w:highlight w:val="none"/>
        </w:rPr>
        <w:t>投标文件载明的分包承担主体拟再次分包。</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color w:val="auto"/>
          <w:szCs w:val="24"/>
          <w:highlight w:val="none"/>
        </w:rPr>
      </w:pPr>
      <w:r>
        <w:rPr>
          <w:color w:val="auto"/>
          <w:szCs w:val="24"/>
          <w:highlight w:val="none"/>
        </w:rPr>
        <w:t>10.8投标有效期</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（1）招标文件载明的投标有效期：详见招标文件第二章。</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（2）投标文件承诺的投标有效期不得少于招标文件载明的投标有效期，否则</w:t>
      </w:r>
      <w:r>
        <w:rPr>
          <w:rStyle w:val="16"/>
          <w:rFonts w:ascii="宋体" w:hAnsi="宋体"/>
          <w:color w:val="auto"/>
          <w:szCs w:val="24"/>
          <w:highlight w:val="none"/>
        </w:rPr>
        <w:t>投标无效</w:t>
      </w:r>
      <w:r>
        <w:rPr>
          <w:color w:val="auto"/>
          <w:szCs w:val="24"/>
          <w:highlight w:val="none"/>
        </w:rPr>
        <w:t>。</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（3）根据本次采购活动的需要，</w:t>
      </w:r>
      <w:r>
        <w:rPr>
          <w:rFonts w:hint="eastAsia"/>
          <w:color w:val="auto"/>
          <w:szCs w:val="24"/>
          <w:highlight w:val="none"/>
          <w:lang w:eastAsia="zh-CN"/>
        </w:rPr>
        <w:t>福建吉瑞招标代理有限公司</w:t>
      </w:r>
      <w:r>
        <w:rPr>
          <w:color w:val="auto"/>
          <w:szCs w:val="24"/>
          <w:highlight w:val="none"/>
        </w:rPr>
        <w:t>可于投标有效期届满之前书面要求投标人延长投标有效期，投标人应在</w:t>
      </w:r>
      <w:r>
        <w:rPr>
          <w:rFonts w:hint="eastAsia"/>
          <w:color w:val="auto"/>
          <w:szCs w:val="24"/>
          <w:highlight w:val="none"/>
          <w:lang w:eastAsia="zh-CN"/>
        </w:rPr>
        <w:t>福建吉瑞招标代理有限公司</w:t>
      </w:r>
      <w:r>
        <w:rPr>
          <w:color w:val="auto"/>
          <w:szCs w:val="24"/>
          <w:highlight w:val="none"/>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color w:val="auto"/>
          <w:szCs w:val="24"/>
          <w:highlight w:val="none"/>
        </w:rPr>
      </w:pPr>
      <w:r>
        <w:rPr>
          <w:color w:val="auto"/>
          <w:szCs w:val="24"/>
          <w:highlight w:val="none"/>
        </w:rPr>
        <w:t>10.9投标保证金</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（1）投标保证金作为投标人按照招标文件规定履行相应投标责任、义务的约束及担保。</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（2）投标保证金的有效期应与投标文件承诺的投标有效期保持一致，否则</w:t>
      </w:r>
      <w:r>
        <w:rPr>
          <w:rStyle w:val="16"/>
          <w:rFonts w:ascii="宋体" w:hAnsi="宋体"/>
          <w:color w:val="auto"/>
          <w:szCs w:val="24"/>
          <w:highlight w:val="none"/>
        </w:rPr>
        <w:t>投标无效</w:t>
      </w:r>
      <w:r>
        <w:rPr>
          <w:color w:val="auto"/>
          <w:szCs w:val="24"/>
          <w:highlight w:val="none"/>
        </w:rPr>
        <w:t>。</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（3）提交</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①</w:t>
      </w:r>
      <w:r>
        <w:rPr>
          <w:color w:val="auto"/>
          <w:szCs w:val="24"/>
          <w:highlight w:val="none"/>
        </w:rPr>
        <w:t>投标人应从其银行账户</w:t>
      </w:r>
      <w:r>
        <w:rPr>
          <w:rStyle w:val="16"/>
          <w:rFonts w:ascii="宋体" w:hAnsi="宋体"/>
          <w:color w:val="auto"/>
          <w:szCs w:val="24"/>
          <w:highlight w:val="none"/>
        </w:rPr>
        <w:t>（基本存款账户）</w:t>
      </w:r>
      <w:r>
        <w:rPr>
          <w:color w:val="auto"/>
          <w:szCs w:val="24"/>
          <w:highlight w:val="none"/>
        </w:rPr>
        <w:t>按照下列方式：</w:t>
      </w:r>
      <w:r>
        <w:rPr>
          <w:rStyle w:val="16"/>
          <w:rFonts w:ascii="宋体" w:hAnsi="宋体"/>
          <w:color w:val="auto"/>
          <w:szCs w:val="24"/>
          <w:highlight w:val="none"/>
        </w:rPr>
        <w:t>公对公转账方式</w:t>
      </w:r>
      <w:r>
        <w:rPr>
          <w:color w:val="auto"/>
          <w:szCs w:val="24"/>
          <w:highlight w:val="none"/>
        </w:rPr>
        <w:t>向招标文件载明的投标保证金账户提交投标保证金，具体金额详见招标文件第</w:t>
      </w:r>
      <w:r>
        <w:rPr>
          <w:rFonts w:hint="eastAsia"/>
          <w:color w:val="auto"/>
          <w:szCs w:val="24"/>
          <w:highlight w:val="none"/>
          <w:lang w:val="en-US" w:eastAsia="zh-CN"/>
        </w:rPr>
        <w:t>一</w:t>
      </w:r>
      <w:r>
        <w:rPr>
          <w:color w:val="auto"/>
          <w:szCs w:val="24"/>
          <w:highlight w:val="none"/>
        </w:rPr>
        <w:t>章。</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②</w:t>
      </w:r>
      <w:r>
        <w:rPr>
          <w:color w:val="auto"/>
          <w:szCs w:val="24"/>
          <w:highlight w:val="none"/>
        </w:rPr>
        <w:t>投标保证金应于投标截止时间前到达招标文件载明的投标保证金账户，否则视为投标保证金未提交；是否到达按照下列方式认定：</w:t>
      </w:r>
      <w:r>
        <w:rPr>
          <w:rStyle w:val="16"/>
          <w:rFonts w:ascii="宋体" w:hAnsi="宋体"/>
          <w:color w:val="auto"/>
          <w:szCs w:val="24"/>
          <w:highlight w:val="none"/>
        </w:rPr>
        <w:t>以</w:t>
      </w:r>
      <w:r>
        <w:rPr>
          <w:rStyle w:val="16"/>
          <w:rFonts w:hint="eastAsia" w:ascii="宋体" w:hAnsi="宋体"/>
          <w:color w:val="auto"/>
          <w:szCs w:val="24"/>
          <w:highlight w:val="none"/>
        </w:rPr>
        <w:t>招标文件指定保证金账户到账时间为准</w:t>
      </w:r>
      <w:r>
        <w:rPr>
          <w:rStyle w:val="16"/>
          <w:rFonts w:ascii="宋体" w:hAnsi="宋体"/>
          <w:color w:val="auto"/>
          <w:szCs w:val="24"/>
          <w:highlight w:val="none"/>
        </w:rPr>
        <w:t>。</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③</w:t>
      </w:r>
      <w:r>
        <w:rPr>
          <w:color w:val="auto"/>
          <w:szCs w:val="24"/>
          <w:highlight w:val="none"/>
        </w:rPr>
        <w:t>若本项目接受联合体投标且投标人为联合体，则联合体中的牵头方应按照本章第10.9条第（3）款第</w:t>
      </w:r>
      <w:r>
        <w:rPr>
          <w:rFonts w:hint="eastAsia"/>
          <w:color w:val="auto"/>
          <w:szCs w:val="24"/>
          <w:highlight w:val="none"/>
        </w:rPr>
        <w:t>①</w:t>
      </w:r>
      <w:r>
        <w:rPr>
          <w:color w:val="auto"/>
          <w:szCs w:val="24"/>
          <w:highlight w:val="none"/>
        </w:rPr>
        <w:t>、</w:t>
      </w:r>
      <w:r>
        <w:rPr>
          <w:rFonts w:hint="eastAsia"/>
          <w:color w:val="auto"/>
          <w:szCs w:val="24"/>
          <w:highlight w:val="none"/>
        </w:rPr>
        <w:t>②</w:t>
      </w:r>
      <w:r>
        <w:rPr>
          <w:color w:val="auto"/>
          <w:szCs w:val="24"/>
          <w:highlight w:val="none"/>
        </w:rPr>
        <w:t>点规定提交投标保证金。</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textAlignment w:val="auto"/>
        <w:rPr>
          <w:color w:val="auto"/>
          <w:szCs w:val="24"/>
          <w:highlight w:val="none"/>
        </w:rPr>
      </w:pPr>
      <w:r>
        <w:rPr>
          <w:rStyle w:val="16"/>
          <w:rFonts w:hint="eastAsia" w:ascii="宋体" w:hAnsi="宋体"/>
          <w:color w:val="auto"/>
          <w:szCs w:val="24"/>
          <w:highlight w:val="none"/>
        </w:rPr>
        <w:t>※</w:t>
      </w:r>
      <w:r>
        <w:rPr>
          <w:rStyle w:val="16"/>
          <w:rFonts w:ascii="宋体" w:hAnsi="宋体"/>
          <w:color w:val="auto"/>
          <w:szCs w:val="24"/>
          <w:highlight w:val="none"/>
        </w:rPr>
        <w:t>除招标文件另有规定外，未按照上述规定提交投标保证金将导致资格审查不合格。</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（4）退还</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①</w:t>
      </w:r>
      <w:r>
        <w:rPr>
          <w:color w:val="auto"/>
          <w:szCs w:val="24"/>
          <w:highlight w:val="none"/>
        </w:rPr>
        <w:t>在投标截止时间前撤回已提交的投标文件的投标人，其投标保证金将在</w:t>
      </w:r>
      <w:r>
        <w:rPr>
          <w:rFonts w:hint="eastAsia"/>
          <w:color w:val="auto"/>
          <w:szCs w:val="24"/>
          <w:highlight w:val="none"/>
          <w:lang w:eastAsia="zh-CN"/>
        </w:rPr>
        <w:t>福建吉瑞招标代理有限公司</w:t>
      </w:r>
      <w:r>
        <w:rPr>
          <w:color w:val="auto"/>
          <w:szCs w:val="24"/>
          <w:highlight w:val="none"/>
        </w:rPr>
        <w:t>收到投标人书面撤回通知之日起5个工作日内退回原账户。</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②</w:t>
      </w:r>
      <w:r>
        <w:rPr>
          <w:color w:val="auto"/>
          <w:szCs w:val="24"/>
          <w:highlight w:val="none"/>
        </w:rPr>
        <w:t>未</w:t>
      </w:r>
      <w:r>
        <w:rPr>
          <w:rFonts w:hint="eastAsia"/>
          <w:color w:val="auto"/>
          <w:szCs w:val="24"/>
          <w:highlight w:val="none"/>
          <w:lang w:eastAsia="zh-CN"/>
        </w:rPr>
        <w:t>中标供应商</w:t>
      </w:r>
      <w:r>
        <w:rPr>
          <w:color w:val="auto"/>
          <w:szCs w:val="24"/>
          <w:highlight w:val="none"/>
        </w:rPr>
        <w:t>的投标保证金将在中标通知书发出之日起5个工作日内退回原账户。</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③</w:t>
      </w:r>
      <w:r>
        <w:rPr>
          <w:rFonts w:hint="eastAsia"/>
          <w:color w:val="auto"/>
          <w:szCs w:val="24"/>
          <w:highlight w:val="none"/>
          <w:lang w:eastAsia="zh-CN"/>
        </w:rPr>
        <w:t>中标供应商</w:t>
      </w:r>
      <w:r>
        <w:rPr>
          <w:color w:val="auto"/>
          <w:szCs w:val="24"/>
          <w:highlight w:val="none"/>
        </w:rPr>
        <w:t>的投标保证金将在政府采购合同签订之日起5个工作日内退回原账户；</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④</w:t>
      </w:r>
      <w:r>
        <w:rPr>
          <w:color w:val="auto"/>
          <w:szCs w:val="24"/>
          <w:highlight w:val="none"/>
        </w:rPr>
        <w:t>终止招标的，</w:t>
      </w:r>
      <w:r>
        <w:rPr>
          <w:rFonts w:hint="eastAsia"/>
          <w:color w:val="auto"/>
          <w:szCs w:val="24"/>
          <w:highlight w:val="none"/>
          <w:lang w:eastAsia="zh-CN"/>
        </w:rPr>
        <w:t>福建吉瑞招标代理有限公司</w:t>
      </w:r>
      <w:r>
        <w:rPr>
          <w:color w:val="auto"/>
          <w:szCs w:val="24"/>
          <w:highlight w:val="none"/>
        </w:rPr>
        <w:t>将在终止公告发布之日起5个工作日内退回已收取的投标保证金。</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⑤</w:t>
      </w:r>
      <w:r>
        <w:rPr>
          <w:color w:val="auto"/>
          <w:szCs w:val="24"/>
          <w:highlight w:val="none"/>
        </w:rPr>
        <w:t>除招标文件另有规定外，质疑或投诉涉及的投标人，若投标保证金尚未退还，则待质疑或投诉处理完毕后不计利息原额退还。</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Style w:val="16"/>
          <w:rFonts w:hint="eastAsia" w:ascii="宋体" w:hAnsi="宋体"/>
          <w:color w:val="auto"/>
          <w:szCs w:val="24"/>
          <w:highlight w:val="none"/>
        </w:rPr>
        <w:t>※</w:t>
      </w:r>
      <w:r>
        <w:rPr>
          <w:rStyle w:val="16"/>
          <w:rFonts w:ascii="宋体" w:hAnsi="宋体"/>
          <w:color w:val="auto"/>
          <w:szCs w:val="24"/>
          <w:highlight w:val="none"/>
        </w:rPr>
        <w:t>本章第10.9条第（4）款第</w:t>
      </w:r>
      <w:r>
        <w:rPr>
          <w:rStyle w:val="16"/>
          <w:rFonts w:hint="eastAsia" w:ascii="宋体" w:hAnsi="宋体"/>
          <w:color w:val="auto"/>
          <w:szCs w:val="24"/>
          <w:highlight w:val="none"/>
        </w:rPr>
        <w:t>①</w:t>
      </w:r>
      <w:r>
        <w:rPr>
          <w:rStyle w:val="16"/>
          <w:rFonts w:ascii="宋体" w:hAnsi="宋体"/>
          <w:color w:val="auto"/>
          <w:szCs w:val="24"/>
          <w:highlight w:val="none"/>
        </w:rPr>
        <w:t>、</w:t>
      </w:r>
      <w:r>
        <w:rPr>
          <w:rStyle w:val="16"/>
          <w:rFonts w:hint="eastAsia" w:ascii="宋体" w:hAnsi="宋体"/>
          <w:color w:val="auto"/>
          <w:szCs w:val="24"/>
          <w:highlight w:val="none"/>
        </w:rPr>
        <w:t>②</w:t>
      </w:r>
      <w:r>
        <w:rPr>
          <w:rStyle w:val="16"/>
          <w:rFonts w:ascii="宋体" w:hAnsi="宋体"/>
          <w:color w:val="auto"/>
          <w:szCs w:val="24"/>
          <w:highlight w:val="none"/>
        </w:rPr>
        <w:t>、</w:t>
      </w:r>
      <w:r>
        <w:rPr>
          <w:rStyle w:val="16"/>
          <w:rFonts w:hint="eastAsia" w:ascii="宋体" w:hAnsi="宋体"/>
          <w:color w:val="auto"/>
          <w:szCs w:val="24"/>
          <w:highlight w:val="none"/>
        </w:rPr>
        <w:t>③</w:t>
      </w:r>
      <w:r>
        <w:rPr>
          <w:rStyle w:val="16"/>
          <w:rFonts w:ascii="宋体" w:hAnsi="宋体"/>
          <w:color w:val="auto"/>
          <w:szCs w:val="24"/>
          <w:highlight w:val="none"/>
        </w:rPr>
        <w:t>点规定的投标保证金退还时限不包括因投标人自身原因导致无法及时退还而增加的时间。</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（6）有下列情形之一的，投标保证金将不予退还：</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①</w:t>
      </w:r>
      <w:r>
        <w:rPr>
          <w:color w:val="auto"/>
          <w:szCs w:val="24"/>
          <w:highlight w:val="none"/>
        </w:rPr>
        <w:t>投标人串通投标；</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②</w:t>
      </w:r>
      <w:r>
        <w:rPr>
          <w:color w:val="auto"/>
          <w:szCs w:val="24"/>
          <w:highlight w:val="none"/>
        </w:rPr>
        <w:t>投标人提供虚假材料；</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③</w:t>
      </w:r>
      <w:r>
        <w:rPr>
          <w:color w:val="auto"/>
          <w:szCs w:val="24"/>
          <w:highlight w:val="none"/>
        </w:rPr>
        <w:t>投标人采取不正当手段诋毁、排挤其他投标人；</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④</w:t>
      </w:r>
      <w:r>
        <w:rPr>
          <w:color w:val="auto"/>
          <w:szCs w:val="24"/>
          <w:highlight w:val="none"/>
        </w:rPr>
        <w:t>投标截止时间后，投标人在投标有效期内撤销投标文件；</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⑤</w:t>
      </w:r>
      <w:r>
        <w:rPr>
          <w:color w:val="auto"/>
          <w:szCs w:val="24"/>
          <w:highlight w:val="none"/>
        </w:rPr>
        <w:t>投标人不接受评标委员会按照招标文件规定对投标报价错误之处进行修正；</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⑥</w:t>
      </w:r>
      <w:r>
        <w:rPr>
          <w:color w:val="auto"/>
          <w:szCs w:val="24"/>
          <w:highlight w:val="none"/>
        </w:rPr>
        <w:t>投标人违反招标文件第三章第9.4、9.5、9.6条规定之一；</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⑦</w:t>
      </w:r>
      <w:r>
        <w:rPr>
          <w:color w:val="auto"/>
          <w:szCs w:val="24"/>
          <w:highlight w:val="none"/>
        </w:rPr>
        <w:t>招标文件规定的其他不予退还情形；</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⑧</w:t>
      </w:r>
      <w:r>
        <w:rPr>
          <w:rFonts w:hint="eastAsia"/>
          <w:color w:val="auto"/>
          <w:szCs w:val="24"/>
          <w:highlight w:val="none"/>
          <w:lang w:eastAsia="zh-CN"/>
        </w:rPr>
        <w:t>中标供应商</w:t>
      </w:r>
      <w:r>
        <w:rPr>
          <w:color w:val="auto"/>
          <w:szCs w:val="24"/>
          <w:highlight w:val="none"/>
        </w:rPr>
        <w:t>有下列情形之一的：</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a.除不可抗力外，因</w:t>
      </w:r>
      <w:r>
        <w:rPr>
          <w:rFonts w:hint="eastAsia"/>
          <w:color w:val="auto"/>
          <w:szCs w:val="24"/>
          <w:highlight w:val="none"/>
          <w:lang w:eastAsia="zh-CN"/>
        </w:rPr>
        <w:t>中标供应商</w:t>
      </w:r>
      <w:r>
        <w:rPr>
          <w:color w:val="auto"/>
          <w:szCs w:val="24"/>
          <w:highlight w:val="none"/>
        </w:rPr>
        <w:t>自身原因未在中标通知书要求的期限内与采购人签订政府采购合同；</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b.未按照招标文件、投标文件的约定签订政府采购合同或提交履约保证金。</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Style w:val="16"/>
          <w:rFonts w:hint="eastAsia" w:ascii="宋体" w:hAnsi="宋体"/>
          <w:color w:val="auto"/>
          <w:szCs w:val="24"/>
          <w:highlight w:val="none"/>
        </w:rPr>
        <w:t>※</w:t>
      </w:r>
      <w:r>
        <w:rPr>
          <w:rStyle w:val="16"/>
          <w:rFonts w:ascii="宋体" w:hAnsi="宋体"/>
          <w:color w:val="auto"/>
          <w:szCs w:val="24"/>
          <w:highlight w:val="none"/>
        </w:rPr>
        <w:t>若上述投标保证金不予退还情形给采购人（</w:t>
      </w:r>
      <w:r>
        <w:rPr>
          <w:rStyle w:val="16"/>
          <w:rFonts w:hint="eastAsia" w:ascii="宋体" w:hAnsi="宋体"/>
          <w:color w:val="auto"/>
          <w:szCs w:val="24"/>
          <w:highlight w:val="none"/>
        </w:rPr>
        <w:t>招标代理机构</w:t>
      </w:r>
      <w:r>
        <w:rPr>
          <w:rStyle w:val="16"/>
          <w:rFonts w:ascii="宋体" w:hAnsi="宋体"/>
          <w:color w:val="auto"/>
          <w:szCs w:val="24"/>
          <w:highlight w:val="none"/>
        </w:rPr>
        <w:t>）造成损失，则投标人还要承担相应的赔偿责任。</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color w:val="auto"/>
          <w:szCs w:val="24"/>
          <w:highlight w:val="none"/>
        </w:rPr>
      </w:pPr>
      <w:r>
        <w:rPr>
          <w:color w:val="auto"/>
          <w:szCs w:val="24"/>
          <w:highlight w:val="none"/>
        </w:rPr>
        <w:t>10.10投标文件的提交</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（1）一个投标人只能提交一个投标文件，并按照招标文件第一章规定将其送达。</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（2）密封及其标记的具体形式：详见招标文件第二章。</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color w:val="auto"/>
          <w:szCs w:val="24"/>
          <w:highlight w:val="none"/>
        </w:rPr>
      </w:pPr>
      <w:r>
        <w:rPr>
          <w:color w:val="auto"/>
          <w:szCs w:val="24"/>
          <w:highlight w:val="none"/>
        </w:rPr>
        <w:t>10.11投标文件的补充、修改或撤回</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（1）投标截止时间前，投标人可对所提交的投标文件进行补充、修改或撤回，并书面通知</w:t>
      </w:r>
      <w:r>
        <w:rPr>
          <w:rFonts w:hint="eastAsia"/>
          <w:color w:val="auto"/>
          <w:szCs w:val="24"/>
          <w:highlight w:val="none"/>
          <w:lang w:eastAsia="zh-CN"/>
        </w:rPr>
        <w:t>福建吉瑞招标代理有限公司</w:t>
      </w:r>
      <w:r>
        <w:rPr>
          <w:color w:val="auto"/>
          <w:szCs w:val="24"/>
          <w:highlight w:val="none"/>
        </w:rPr>
        <w:t>。</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（2）补充、修改的内容应按照本章第10.5条第（4）款规定进行签署、盖章，并按照本章第10.10条规定提交，</w:t>
      </w:r>
      <w:r>
        <w:rPr>
          <w:rStyle w:val="16"/>
          <w:rFonts w:ascii="宋体" w:hAnsi="宋体"/>
          <w:color w:val="auto"/>
          <w:szCs w:val="24"/>
          <w:highlight w:val="none"/>
        </w:rPr>
        <w:t>否则将被拒收。</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Style w:val="16"/>
          <w:rFonts w:hint="eastAsia" w:ascii="宋体" w:hAnsi="宋体"/>
          <w:color w:val="auto"/>
          <w:szCs w:val="24"/>
          <w:highlight w:val="none"/>
        </w:rPr>
        <w:t>※</w:t>
      </w:r>
      <w:r>
        <w:rPr>
          <w:rStyle w:val="16"/>
          <w:rFonts w:ascii="宋体" w:hAnsi="宋体"/>
          <w:color w:val="auto"/>
          <w:szCs w:val="24"/>
          <w:highlight w:val="none"/>
        </w:rPr>
        <w:t>按照上述规定提交的补充、修改内容作为投标文件组成部分。</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b/>
          <w:bCs/>
          <w:color w:val="auto"/>
          <w:szCs w:val="24"/>
          <w:highlight w:val="none"/>
        </w:rPr>
      </w:pPr>
      <w:r>
        <w:rPr>
          <w:b/>
          <w:bCs/>
          <w:color w:val="auto"/>
          <w:szCs w:val="24"/>
          <w:highlight w:val="none"/>
        </w:rPr>
        <w:t>10.12除招标文件另有规定外，有下列情形之一的，</w:t>
      </w:r>
      <w:r>
        <w:rPr>
          <w:rStyle w:val="16"/>
          <w:rFonts w:ascii="宋体" w:hAnsi="宋体"/>
          <w:color w:val="auto"/>
          <w:szCs w:val="24"/>
          <w:highlight w:val="none"/>
        </w:rPr>
        <w:t>投标无效</w:t>
      </w:r>
      <w:r>
        <w:rPr>
          <w:b/>
          <w:bCs/>
          <w:color w:val="auto"/>
          <w:szCs w:val="24"/>
          <w:highlight w:val="none"/>
        </w:rPr>
        <w:t>：</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（1）投标文件未按照招标文件要求签署、盖章；</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（2）不符合招标文件中规定的资格要求；</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（3）投标报价超过招标文件中规定的预算金额或最高限价；</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（4）投标文件含有采购人不能接受的附加条件；</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color w:val="auto"/>
          <w:szCs w:val="24"/>
          <w:highlight w:val="none"/>
        </w:rPr>
        <w:t>（5）有关法律、法规和规章及招标文件规定的其他无效情形。</w:t>
      </w:r>
    </w:p>
    <w:p>
      <w:pPr>
        <w:pStyle w:val="19"/>
        <w:keepNext w:val="0"/>
        <w:keepLines w:val="0"/>
        <w:pageBreakBefore w:val="0"/>
        <w:widowControl/>
        <w:kinsoku/>
        <w:wordWrap/>
        <w:overflowPunct/>
        <w:topLinePunct w:val="0"/>
        <w:autoSpaceDE/>
        <w:autoSpaceDN/>
        <w:bidi w:val="0"/>
        <w:adjustRightInd/>
        <w:snapToGrid/>
        <w:spacing w:line="394" w:lineRule="exact"/>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五、开标</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11、开标</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lang w:eastAsia="zh-CN"/>
        </w:rPr>
        <w:t>福建吉瑞招标代理有限公司</w:t>
      </w:r>
      <w:r>
        <w:rPr>
          <w:rFonts w:hint="eastAsia" w:ascii="宋体" w:hAnsi="宋体" w:eastAsia="宋体" w:cs="宋体"/>
          <w:color w:val="auto"/>
          <w:sz w:val="24"/>
          <w:szCs w:val="24"/>
          <w:highlight w:val="none"/>
        </w:rPr>
        <w:t>将在招标文件载明的开标时间及地点主持召开开标会，并邀请投标人参加。</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11.2开标会的主持人、唱标人、记录人均由</w:t>
      </w:r>
      <w:r>
        <w:rPr>
          <w:rFonts w:hint="eastAsia" w:ascii="宋体" w:hAnsi="宋体" w:eastAsia="宋体" w:cs="宋体"/>
          <w:color w:val="auto"/>
          <w:sz w:val="24"/>
          <w:szCs w:val="24"/>
          <w:highlight w:val="none"/>
          <w:lang w:eastAsia="zh-CN"/>
        </w:rPr>
        <w:t>福建吉瑞招标代理有限公司</w:t>
      </w:r>
      <w:r>
        <w:rPr>
          <w:rFonts w:hint="eastAsia" w:ascii="宋体" w:hAnsi="宋体" w:eastAsia="宋体" w:cs="宋体"/>
          <w:color w:val="auto"/>
          <w:sz w:val="24"/>
          <w:szCs w:val="24"/>
          <w:highlight w:val="none"/>
        </w:rPr>
        <w:t>派出，现场监督人员可由有关方面派出。</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11.3参加开标会的投标人应签到，非投标人不参加开标会。</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11.4开标会应遵守下列规定：</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（1）首先由主持人宣布开标会须知，然后由投标人代表对投标文件的密封情况进行检查，经确认无误后，由工作人员对密封的投标文件当众拆封。</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（3）记录人对唱标人宣布的内容作开标记录。</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（5）投标人代表对开标过程和开标记录有疑义，以及认为采购人（招标代理机构）相关工作人员有需要回避情形的，应当场提出询问或回避申请。否则，视为投标人对开标过程和开标记录予以认可。</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（6）若投标人未参加开标会（包括但不限于投标人派出的人员不是投标人代表），视同其对开标过程和开标记录予以认可。</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Style w:val="16"/>
          <w:rFonts w:hint="eastAsia" w:ascii="宋体" w:hAnsi="宋体" w:eastAsia="宋体" w:cs="宋体"/>
          <w:color w:val="auto"/>
          <w:sz w:val="24"/>
          <w:szCs w:val="24"/>
          <w:highlight w:val="none"/>
        </w:rPr>
        <w:t>※若出现本章第11.4条第（4）、（5）、（6）款规定情形之一</w:t>
      </w:r>
      <w:r>
        <w:rPr>
          <w:rFonts w:hint="eastAsia" w:ascii="宋体" w:hAnsi="宋体" w:eastAsia="宋体" w:cs="宋体"/>
          <w:color w:val="auto"/>
          <w:sz w:val="24"/>
          <w:szCs w:val="24"/>
          <w:highlight w:val="none"/>
        </w:rPr>
        <w:t>，</w:t>
      </w:r>
      <w:r>
        <w:rPr>
          <w:rStyle w:val="16"/>
          <w:rFonts w:hint="eastAsia" w:ascii="宋体" w:hAnsi="宋体" w:eastAsia="宋体" w:cs="宋体"/>
          <w:color w:val="auto"/>
          <w:sz w:val="24"/>
          <w:szCs w:val="24"/>
          <w:highlight w:val="none"/>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color w:val="auto"/>
          <w:sz w:val="24"/>
          <w:szCs w:val="24"/>
          <w:highlight w:val="none"/>
          <w:lang w:eastAsia="zh-CN"/>
        </w:rPr>
        <w:t>福建吉瑞招标代理有限公司</w:t>
      </w:r>
      <w:r>
        <w:rPr>
          <w:rStyle w:val="16"/>
          <w:rFonts w:hint="eastAsia" w:ascii="宋体" w:hAnsi="宋体" w:eastAsia="宋体" w:cs="宋体"/>
          <w:color w:val="auto"/>
          <w:sz w:val="24"/>
          <w:szCs w:val="24"/>
          <w:highlight w:val="none"/>
        </w:rPr>
        <w:t>提出任何疑义或要求（包括质疑）。</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11.5投标截止时间后，参加投标的投标人不足三家的，不进行开标。同时，本次采购活动结束，</w:t>
      </w:r>
      <w:r>
        <w:rPr>
          <w:rFonts w:hint="eastAsia" w:ascii="宋体" w:hAnsi="宋体" w:eastAsia="宋体" w:cs="宋体"/>
          <w:color w:val="auto"/>
          <w:sz w:val="24"/>
          <w:szCs w:val="24"/>
          <w:highlight w:val="none"/>
          <w:lang w:eastAsia="zh-CN"/>
        </w:rPr>
        <w:t>福建吉瑞招标代理有限公司</w:t>
      </w:r>
      <w:r>
        <w:rPr>
          <w:rFonts w:hint="eastAsia" w:ascii="宋体" w:hAnsi="宋体" w:eastAsia="宋体" w:cs="宋体"/>
          <w:color w:val="auto"/>
          <w:sz w:val="24"/>
          <w:szCs w:val="24"/>
          <w:highlight w:val="none"/>
        </w:rPr>
        <w:t>将依法组织后续采购活动（包括但不限于：重新招标、采用其他方式采购等）。</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11.6投标截止时间后撤销投标的处理</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投标截止时间后，投标人在投标有效期内撤销投标的，其撤销投标的行为无效。</w:t>
      </w:r>
    </w:p>
    <w:p>
      <w:pPr>
        <w:pStyle w:val="19"/>
        <w:keepNext w:val="0"/>
        <w:keepLines w:val="0"/>
        <w:pageBreakBefore w:val="0"/>
        <w:widowControl/>
        <w:kinsoku/>
        <w:wordWrap/>
        <w:overflowPunct/>
        <w:topLinePunct w:val="0"/>
        <w:autoSpaceDE/>
        <w:autoSpaceDN/>
        <w:bidi w:val="0"/>
        <w:adjustRightInd/>
        <w:snapToGrid/>
        <w:spacing w:line="394" w:lineRule="exact"/>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六、中标与政府采购合同</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12、中标</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12.1本项目推荐的中标候选人家数：详见招标文件第二章。</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12.2本项目</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的确定：详见招标文件第二章。</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12.3中标公告</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 xml:space="preserve">确定之日起2个工作日内， </w:t>
      </w:r>
      <w:r>
        <w:rPr>
          <w:rFonts w:hint="eastAsia" w:ascii="宋体" w:hAnsi="宋体" w:eastAsia="宋体" w:cs="宋体"/>
          <w:color w:val="auto"/>
          <w:sz w:val="24"/>
          <w:szCs w:val="24"/>
          <w:highlight w:val="none"/>
          <w:lang w:eastAsia="zh-CN"/>
        </w:rPr>
        <w:t>福建吉瑞招标代理有限公司</w:t>
      </w:r>
      <w:r>
        <w:rPr>
          <w:rFonts w:hint="eastAsia" w:ascii="宋体" w:hAnsi="宋体" w:eastAsia="宋体" w:cs="宋体"/>
          <w:color w:val="auto"/>
          <w:sz w:val="24"/>
          <w:szCs w:val="24"/>
          <w:highlight w:val="none"/>
        </w:rPr>
        <w:t xml:space="preserve"> 将在招标文件载明的指定媒体以中标公告的形式发布中标结果。</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（2）中标公告的公告期限为1个工作日。</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12.4中标通知书</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（1）中标公告发布的同时， </w:t>
      </w:r>
      <w:r>
        <w:rPr>
          <w:rFonts w:hint="eastAsia" w:ascii="宋体" w:hAnsi="宋体" w:eastAsia="宋体" w:cs="宋体"/>
          <w:color w:val="auto"/>
          <w:sz w:val="24"/>
          <w:szCs w:val="24"/>
          <w:highlight w:val="none"/>
          <w:lang w:eastAsia="zh-CN"/>
        </w:rPr>
        <w:t>福建吉瑞招标代理有限公司</w:t>
      </w:r>
      <w:r>
        <w:rPr>
          <w:rFonts w:hint="eastAsia" w:ascii="宋体" w:hAnsi="宋体" w:eastAsia="宋体" w:cs="宋体"/>
          <w:color w:val="auto"/>
          <w:sz w:val="24"/>
          <w:szCs w:val="24"/>
          <w:highlight w:val="none"/>
        </w:rPr>
        <w:t xml:space="preserve"> 将向</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发出中标通知书。</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（2）中标通知书发出后，采购人不得违法改变中标结果，</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无正当理由不得放弃中标。</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13、政府采购合同</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13.1签订政府采购合同应遵守政府采购法及实施条例的规定，不得对招标文件确定的事项和</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的投标文件作实质性修改。采购人不得向</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提出任何不合理的要求作为政府采购合同的签订条件。</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13.2签订时限：详见招标文件第二章。</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13.3政府采购合同的履行、违约责任和解决争议的方法等适用民法典。</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13.4采购人与</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应根据政府采购合同的约定依法履行合同义务。</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13.5政府采购合同履行过程中，采购人若需追加与合同标的相同的货物或服务，则追加采购金额不得超过原合同采购金额的10%。</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在政府采购合同履行过程中应遵守有关法律、法规和规章的强制性规定（即使前述强制性规定有可能在招标文件中未予列明）。</w:t>
      </w:r>
    </w:p>
    <w:p>
      <w:pPr>
        <w:pStyle w:val="19"/>
        <w:keepNext w:val="0"/>
        <w:keepLines w:val="0"/>
        <w:pageBreakBefore w:val="0"/>
        <w:widowControl/>
        <w:kinsoku/>
        <w:wordWrap/>
        <w:overflowPunct/>
        <w:topLinePunct w:val="0"/>
        <w:autoSpaceDE/>
        <w:autoSpaceDN/>
        <w:bidi w:val="0"/>
        <w:adjustRightInd/>
        <w:snapToGrid/>
        <w:spacing w:line="394" w:lineRule="exact"/>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七、询问、质疑与投诉</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14、询问</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14.1潜在投标人或投标人对本次采购活动的有关事项若有疑问，可向 </w:t>
      </w:r>
      <w:r>
        <w:rPr>
          <w:rFonts w:hint="eastAsia" w:ascii="宋体" w:hAnsi="宋体" w:eastAsia="宋体" w:cs="宋体"/>
          <w:color w:val="auto"/>
          <w:sz w:val="24"/>
          <w:szCs w:val="24"/>
          <w:highlight w:val="none"/>
          <w:lang w:eastAsia="zh-CN"/>
        </w:rPr>
        <w:t>福建吉瑞招标代理有限公司</w:t>
      </w:r>
      <w:r>
        <w:rPr>
          <w:rFonts w:hint="eastAsia" w:ascii="宋体" w:hAnsi="宋体" w:eastAsia="宋体" w:cs="宋体"/>
          <w:color w:val="auto"/>
          <w:sz w:val="24"/>
          <w:szCs w:val="24"/>
          <w:highlight w:val="none"/>
        </w:rPr>
        <w:t xml:space="preserve"> 提出询问， </w:t>
      </w:r>
      <w:r>
        <w:rPr>
          <w:rFonts w:hint="eastAsia" w:ascii="宋体" w:hAnsi="宋体" w:eastAsia="宋体" w:cs="宋体"/>
          <w:color w:val="auto"/>
          <w:sz w:val="24"/>
          <w:szCs w:val="24"/>
          <w:highlight w:val="none"/>
          <w:lang w:eastAsia="zh-CN"/>
        </w:rPr>
        <w:t>福建吉瑞招标代理有限公司</w:t>
      </w:r>
      <w:r>
        <w:rPr>
          <w:rFonts w:hint="eastAsia" w:ascii="宋体" w:hAnsi="宋体" w:eastAsia="宋体" w:cs="宋体"/>
          <w:color w:val="auto"/>
          <w:sz w:val="24"/>
          <w:szCs w:val="24"/>
          <w:highlight w:val="none"/>
        </w:rPr>
        <w:t xml:space="preserve"> 将按照政府采购法及实施条例的有关规定进行答复。</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15、质疑</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15.1针对同一采购程序环节的质疑应在政府采购法及实施条例的时限内一次性提出，对一个项目的不同</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提出质疑的，应当将各</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质疑事项集中在一份质疑函中提出，并同时符合下列条件：</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（1）对招标文件提出质疑的，质疑人应为潜在投标人，且两者的身份、名称等均应保持一致。对采购过程、结果提出质疑的，质疑人应为投标人，且两者的身份、名称等均应保持一致。</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（2）质疑人应按照招标文件第二章规定方式提交质疑函。</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（3）质疑函应包括下列主要内容：</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①质疑人的基本信息，至少包括：全称、地址、邮政编码等；</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②所质疑项目的基本信息，至少包括：项目编号、项目名称等；</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③所质疑的具体事项（以下简称：“质疑事项”）；</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④针对质疑事项提出的明确请求，前述明确请求指质疑人提出质疑的目的以及希望 </w:t>
      </w:r>
      <w:r>
        <w:rPr>
          <w:rFonts w:hint="eastAsia" w:ascii="宋体" w:hAnsi="宋体" w:eastAsia="宋体" w:cs="宋体"/>
          <w:color w:val="auto"/>
          <w:sz w:val="24"/>
          <w:szCs w:val="24"/>
          <w:highlight w:val="none"/>
          <w:lang w:eastAsia="zh-CN"/>
        </w:rPr>
        <w:t>福建吉瑞招标代理有限公司</w:t>
      </w:r>
      <w:r>
        <w:rPr>
          <w:rFonts w:hint="eastAsia" w:ascii="宋体" w:hAnsi="宋体" w:eastAsia="宋体" w:cs="宋体"/>
          <w:color w:val="auto"/>
          <w:sz w:val="24"/>
          <w:szCs w:val="24"/>
          <w:highlight w:val="none"/>
        </w:rPr>
        <w:t xml:space="preserve"> 对其质疑作出的处理结果，如：暂停招标投标活动、修改招标文件、停止或纠正违法违规行为、中标结果无效、废标、重新招标等；</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⑤针对质疑事项导致质疑人自身权益受到损害的必要证明材料，至少包括：</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a.质疑人代表的身份证明材料：</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a2若本项目接受自然人投标且质疑人为自然人的，提供本人的身份证复印件。</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b.其他证明材料（即事实依据和必要的法律依据）包括但不限于下列材料：</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b1所质疑的具体事项是与自己有利害关系的证明材料；</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b2质疑函所述事实存在的证明材料，如：采购文件、采购过程或中标结果违法违规或不符合采购文件要求等证明材料；</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b3依法应终止采购程序的证明材料；</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b4应重新采购的证明材料；</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b5采购文件、采购过程或中标、</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结果损害自己合法权益的证明材料等；</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⑥质疑人代表及其联系方法的信息，至少包括：姓名、手机、电子信箱、邮寄地址等。</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⑦提出质疑的日期。</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※质疑人为法人或其他组织的，质疑函应由单位负责人或委托代理人签字或盖章，并加盖投标人的单位公章。质疑人为自然人的，质疑函应由本人签字。</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15.2对不符合本章第15.1条规定的质疑，将按照下列规定进行处理：</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（1）不符合其中第（1）、（2）条规定的，书面告知质疑人不予受理及其理由。</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（2）不符合其中第（3）条规定的，书面告知质疑人修改、补充后在规定时限内重新提交质疑函。</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15.3对符合本章第15.1条规定的质疑，将按照政府采购法及实施条例、政府采购质疑和投诉办法的有关规定进行答复。</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15.4招标文件的质疑：详见招标文件第二章。</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16、投诉</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16.1若对质疑答复不满意或质疑答复未在答复期限内作出，质疑</w:t>
      </w:r>
      <w:r>
        <w:rPr>
          <w:rFonts w:hint="eastAsia" w:ascii="宋体" w:hAnsi="宋体" w:eastAsia="宋体" w:cs="宋体"/>
          <w:color w:val="auto"/>
          <w:sz w:val="24"/>
          <w:szCs w:val="24"/>
          <w:highlight w:val="none"/>
        </w:rPr>
        <w:t>人可在</w:t>
      </w:r>
      <w:r>
        <w:rPr>
          <w:rFonts w:hint="eastAsia" w:ascii="宋体" w:hAnsi="宋体" w:eastAsia="宋体" w:cs="宋体"/>
          <w:color w:val="auto"/>
          <w:sz w:val="24"/>
          <w:szCs w:val="24"/>
          <w:highlight w:val="none"/>
        </w:rPr>
        <w:t>答复期限届满之日起15个工作日内按照政府采购质疑和投诉办法的有关规定向招标文件第二章载明的本项目监督管理部门提起投诉。</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16.2投诉应有明确的请求和必要的证明材料，投诉的事项不得超出已质疑事项的范围。</w:t>
      </w:r>
    </w:p>
    <w:p>
      <w:pPr>
        <w:pStyle w:val="19"/>
        <w:keepNext w:val="0"/>
        <w:keepLines w:val="0"/>
        <w:pageBreakBefore w:val="0"/>
        <w:widowControl/>
        <w:kinsoku/>
        <w:wordWrap/>
        <w:overflowPunct/>
        <w:topLinePunct w:val="0"/>
        <w:autoSpaceDE/>
        <w:autoSpaceDN/>
        <w:bidi w:val="0"/>
        <w:adjustRightInd/>
        <w:snapToGrid/>
        <w:spacing w:line="394" w:lineRule="exact"/>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八、政府采购政策</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17、政府采购政策由财政部根据国家的经济和社会发展政策并会同国家有关部委制定，包括但不限于下列具体政策要求：</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17.1进口产品指通过中国海关报关验放进入中国境内且产自关境外的产品，其中：</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（2）凡在海关特殊监管区域内企业生产或加工（包括从境外进口料件）销往境内其他地区的产品，不作为政府采购项下进口产品。</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（3）对从境外进入海关特殊监管区域，再经办理报关手续后从海关特殊监管区进入境内其他地区的产品，认定为进口产品。</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（4）招标文件列明不允许或未列明允许进口产品参加投标的，均视为拒绝进口产品参加投标。</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w:t>
      </w:r>
      <w:r>
        <w:rPr>
          <w:rFonts w:hint="eastAsia" w:ascii="宋体" w:hAnsi="宋体" w:eastAsia="宋体" w:cs="宋体"/>
          <w:color w:val="auto"/>
          <w:sz w:val="24"/>
          <w:szCs w:val="24"/>
          <w:highlight w:val="none"/>
        </w:rPr>
        <w:t>采购的产品</w:t>
      </w:r>
      <w:r>
        <w:rPr>
          <w:rFonts w:hint="eastAsia" w:ascii="宋体" w:hAnsi="宋体" w:eastAsia="宋体" w:cs="宋体"/>
          <w:color w:val="auto"/>
          <w:sz w:val="24"/>
          <w:szCs w:val="24"/>
          <w:highlight w:val="none"/>
        </w:rPr>
        <w:t>属于品目清单范围的，采购人及其委托的采购代理机构应当依据国家确定的认证机构出具的、处于有效期之内的节能产品、环境标志产品认证证书，对获得证书的产品实施政府优先采购或强制采购。</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（1）中小企业指符合下列条件的中型、小型、微型企业：</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②符合中小企业划分标准的个体工商户，在政府采购活动中视同中小企业。</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（2）在政府采购活动中，供应商提供的货物、工程或者服务符合下列情形的，享受本办法规定的中小企业扶持政策：</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①在货物采购项目中，货物由中小企业制造，即货物由中小企业生产且使用该中小企业商号或者注册商标；</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②在工程采购项目中，工程由中小企业承建，即工程施工单位为中小企业；</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③在服务采购项目中，服务由中小企业承接，即提供服务的人员为中小企业依照《中华人民共和国劳动合同法》订立劳动合同的从业人员。</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在货物采购项目中，供应商提供的货物既有中小企业制造货物，也有大型企业制造货物的，不享受本办法规定的中小企业扶持政策。</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（3）投标人应当按照招标文件明确的采购标的对应行业的划分标准出具中小企业声明函。</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①监狱企业参加采购活动时，应提供由省级以上监狱管理局、戒毒管理局（含新疆生产建设兵团）出具的属于监狱企业的证明文件。</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②监狱企业视同小型、微型企业。</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（5）残疾人福利性单位指同时符合下列条件的单位：</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①安置的残疾人占本单位在职职工人数的比例不低于25%（含25%），并且安置的残疾人人数不少于10人（含10人）；</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②依法与安置的每位残疾人签订了一年以上（含一年）的劳动合同或服务协议；</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③为安置的每位残疾人按月足额缴纳了基本养老保险、基本医疗保险、失业保险、工伤保险和生育保险等社会保险费；</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④通过银行等金融机构向安置的每位残疾人，按月支付了不低于单位所在区县适用的经省级人民政府批准的月最低工资标准的工资；</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⑤提供本单位制造的货物、承担的工程或服务，或提供其他残疾人福利性单位制造的货物（不包括使用非残疾人福利性单位注册商标的货物）。</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17.4信用记录指由财政部确定的有关网站提供的相关主体信用信息。信用记录的查询及使用应符合财政部文件（财库[2016]125号）规定。</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17.5为落实政府采购政策需满足的要求：详见招标文件第一章。</w:t>
      </w:r>
    </w:p>
    <w:p>
      <w:pPr>
        <w:pStyle w:val="19"/>
        <w:keepNext w:val="0"/>
        <w:keepLines w:val="0"/>
        <w:pageBreakBefore w:val="0"/>
        <w:widowControl/>
        <w:kinsoku/>
        <w:wordWrap/>
        <w:overflowPunct/>
        <w:topLinePunct w:val="0"/>
        <w:autoSpaceDE/>
        <w:autoSpaceDN/>
        <w:bidi w:val="0"/>
        <w:adjustRightInd/>
        <w:snapToGrid/>
        <w:spacing w:line="394" w:lineRule="exact"/>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九、本项目的有关信息</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18、本项目的有关信息，包括但不限于：招标公告、更正公告（若有）、招标文件、招标文件的澄清或修改（若有）、中标公告、终止公告（若有）、废标公告（若有）等都将在招标文件载明的指定媒体发布。</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18.1指定媒体：详见招标文件第二章。</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18.2本项目的潜在投标人或投标人应随时关注指定媒体，否则产生不利后果由其自行承担。</w:t>
      </w:r>
    </w:p>
    <w:p>
      <w:pPr>
        <w:pStyle w:val="19"/>
        <w:keepNext w:val="0"/>
        <w:keepLines w:val="0"/>
        <w:pageBreakBefore w:val="0"/>
        <w:widowControl/>
        <w:kinsoku/>
        <w:wordWrap/>
        <w:overflowPunct/>
        <w:topLinePunct w:val="0"/>
        <w:autoSpaceDE/>
        <w:autoSpaceDN/>
        <w:bidi w:val="0"/>
        <w:adjustRightInd/>
        <w:snapToGrid/>
        <w:spacing w:line="394" w:lineRule="exact"/>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十、其他事项</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19、其他事项：</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双方签订合同及验收环节，应包含上述包装要求的条款。</w:t>
      </w:r>
    </w:p>
    <w:p>
      <w:pPr>
        <w:pStyle w:val="19"/>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19.2其他：详见招标文件第二章。</w:t>
      </w:r>
    </w:p>
    <w:p>
      <w:pPr>
        <w:pStyle w:val="19"/>
        <w:keepNext w:val="0"/>
        <w:keepLines w:val="0"/>
        <w:pageBreakBefore w:val="0"/>
        <w:widowControl/>
        <w:kinsoku/>
        <w:wordWrap/>
        <w:overflowPunct/>
        <w:topLinePunct w:val="0"/>
        <w:autoSpaceDE/>
        <w:autoSpaceDN/>
        <w:bidi w:val="0"/>
        <w:adjustRightInd/>
        <w:snapToGrid/>
        <w:spacing w:line="394" w:lineRule="exact"/>
        <w:textAlignment w:val="auto"/>
        <w:rPr>
          <w:color w:val="auto"/>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color w:val="auto"/>
          <w:highlight w:val="none"/>
        </w:rPr>
        <w:br w:type="page"/>
      </w:r>
    </w:p>
    <w:p>
      <w:pPr>
        <w:pStyle w:val="19"/>
        <w:jc w:val="center"/>
        <w:outlineLvl w:val="1"/>
        <w:rPr>
          <w:color w:val="auto"/>
          <w:highlight w:val="none"/>
        </w:rPr>
      </w:pPr>
      <w:r>
        <w:rPr>
          <w:b/>
          <w:color w:val="auto"/>
          <w:sz w:val="36"/>
          <w:highlight w:val="none"/>
        </w:rPr>
        <w:t>第四章</w:t>
      </w:r>
      <w:r>
        <w:rPr>
          <w:rFonts w:hint="eastAsia"/>
          <w:b/>
          <w:color w:val="auto"/>
          <w:sz w:val="36"/>
          <w:highlight w:val="none"/>
          <w:lang w:val="en-US" w:eastAsia="zh-CN"/>
        </w:rPr>
        <w:t xml:space="preserve">  </w:t>
      </w:r>
      <w:r>
        <w:rPr>
          <w:b/>
          <w:color w:val="auto"/>
          <w:sz w:val="36"/>
          <w:highlight w:val="none"/>
        </w:rPr>
        <w:t>资格审查与评标</w:t>
      </w:r>
    </w:p>
    <w:p>
      <w:pPr>
        <w:pStyle w:val="12"/>
        <w:keepNext w:val="0"/>
        <w:keepLines w:val="0"/>
        <w:pageBreakBefore w:val="0"/>
        <w:kinsoku/>
        <w:wordWrap/>
        <w:overflowPunct/>
        <w:topLinePunct w:val="0"/>
        <w:bidi w:val="0"/>
        <w:spacing w:before="0" w:beforeLines="0" w:beforeAutospacing="0" w:after="0" w:afterLines="0" w:afterAutospacing="0" w:line="394" w:lineRule="exact"/>
        <w:jc w:val="center"/>
        <w:textAlignment w:val="auto"/>
        <w:outlineLvl w:val="1"/>
        <w:rPr>
          <w:rStyle w:val="16"/>
          <w:rFonts w:hint="eastAsia" w:ascii="宋体" w:hAnsi="宋体" w:eastAsia="宋体" w:cs="宋体"/>
          <w:b/>
          <w:bCs/>
          <w:color w:val="auto"/>
          <w:sz w:val="24"/>
          <w:szCs w:val="24"/>
          <w:highlight w:val="none"/>
        </w:rPr>
      </w:pPr>
      <w:r>
        <w:rPr>
          <w:rStyle w:val="16"/>
          <w:rFonts w:hint="eastAsia" w:ascii="宋体" w:hAnsi="宋体" w:eastAsia="宋体" w:cs="宋体"/>
          <w:b/>
          <w:bCs/>
          <w:color w:val="auto"/>
          <w:sz w:val="24"/>
          <w:szCs w:val="24"/>
          <w:highlight w:val="none"/>
        </w:rPr>
        <w:t>一、评标委员会</w:t>
      </w:r>
    </w:p>
    <w:p>
      <w:pPr>
        <w:pStyle w:val="19"/>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福建吉瑞招标代理有限公司</w:t>
      </w:r>
      <w:r>
        <w:rPr>
          <w:rFonts w:hint="eastAsia" w:ascii="宋体" w:hAnsi="宋体" w:eastAsia="宋体" w:cs="宋体"/>
          <w:color w:val="auto"/>
          <w:sz w:val="24"/>
          <w:szCs w:val="24"/>
          <w:highlight w:val="none"/>
        </w:rPr>
        <w:t>负责评标委员会的组建及评标工作的组织。</w:t>
      </w:r>
    </w:p>
    <w:p>
      <w:pPr>
        <w:pStyle w:val="19"/>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2、评标委员会</w:t>
      </w:r>
    </w:p>
    <w:p>
      <w:pPr>
        <w:pStyle w:val="19"/>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2.1评标委员会由评标专家（以下简称“评委”）共</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人组成，由政府采购评审医疗设备采购专家库里随机产生。</w:t>
      </w:r>
    </w:p>
    <w:p>
      <w:pPr>
        <w:pStyle w:val="19"/>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2.2评标委员会负责具体评标事务，并按照下列原则依法独立履行有关职责：</w:t>
      </w:r>
    </w:p>
    <w:p>
      <w:pPr>
        <w:pStyle w:val="19"/>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（1）评标应保护国家利益、社会公共利益和各方当事人合法权益，提高采购效益，保证项目质量。</w:t>
      </w:r>
    </w:p>
    <w:p>
      <w:pPr>
        <w:pStyle w:val="19"/>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（2）评标应遵循公平、公正、科学、严谨和择优原则。</w:t>
      </w:r>
    </w:p>
    <w:p>
      <w:pPr>
        <w:pStyle w:val="19"/>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（3）评标的依据是招标文件和投标文件。</w:t>
      </w:r>
    </w:p>
    <w:p>
      <w:pPr>
        <w:pStyle w:val="19"/>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（4）应按照招标文件规定推荐中标候选人或确定</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w:t>
      </w:r>
    </w:p>
    <w:p>
      <w:pPr>
        <w:pStyle w:val="19"/>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（5）评标应遵守下列评标纪律：</w:t>
      </w:r>
    </w:p>
    <w:p>
      <w:pPr>
        <w:pStyle w:val="19"/>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①评标情况不得私自外泄，有关信息由采购人统一对外发布。</w:t>
      </w:r>
    </w:p>
    <w:p>
      <w:pPr>
        <w:pStyle w:val="19"/>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②对</w:t>
      </w:r>
      <w:r>
        <w:rPr>
          <w:rFonts w:hint="eastAsia" w:ascii="宋体" w:hAnsi="宋体" w:eastAsia="宋体" w:cs="宋体"/>
          <w:color w:val="auto"/>
          <w:sz w:val="24"/>
          <w:szCs w:val="24"/>
          <w:highlight w:val="none"/>
          <w:lang w:eastAsia="zh-CN"/>
        </w:rPr>
        <w:t>福建吉瑞招标代理有限公司</w:t>
      </w:r>
      <w:r>
        <w:rPr>
          <w:rFonts w:hint="eastAsia" w:ascii="宋体" w:hAnsi="宋体" w:eastAsia="宋体" w:cs="宋体"/>
          <w:color w:val="auto"/>
          <w:sz w:val="24"/>
          <w:szCs w:val="24"/>
          <w:highlight w:val="none"/>
        </w:rPr>
        <w:t>或投标人提供的要求保密的资料，不得摘记翻印和外传。</w:t>
      </w:r>
    </w:p>
    <w:p>
      <w:pPr>
        <w:pStyle w:val="19"/>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③不得收受投标人或有关人员的任何礼物，不得串联鼓动其他人袒护某投标人。若与投标人存在利害关系，则应主动声明并回避。</w:t>
      </w:r>
    </w:p>
    <w:p>
      <w:pPr>
        <w:pStyle w:val="19"/>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④全体评委应按照招标文件规定进行评标，一切认定事项应查有实据且不得弄虚作假。</w:t>
      </w:r>
    </w:p>
    <w:p>
      <w:pPr>
        <w:pStyle w:val="19"/>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⑤评标中应充分发扬民主，推荐中标候选人或确定</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后要服从评标报告。</w:t>
      </w:r>
    </w:p>
    <w:p>
      <w:pPr>
        <w:pStyle w:val="12"/>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b/>
          <w:color w:val="auto"/>
          <w:sz w:val="24"/>
          <w:szCs w:val="24"/>
          <w:highlight w:val="none"/>
        </w:rPr>
      </w:pPr>
      <w:r>
        <w:rPr>
          <w:rStyle w:val="16"/>
          <w:rFonts w:hint="eastAsia" w:ascii="宋体" w:hAnsi="宋体" w:eastAsia="宋体" w:cs="宋体"/>
          <w:color w:val="auto"/>
          <w:sz w:val="24"/>
          <w:szCs w:val="24"/>
          <w:highlight w:val="none"/>
        </w:rPr>
        <w:t>※对违反评标纪律的评委，将取消其评委资格，对评标工作造成严重损失者将予以通报批评乃至追究法律责任。</w:t>
      </w:r>
    </w:p>
    <w:p>
      <w:pPr>
        <w:pStyle w:val="12"/>
        <w:keepNext w:val="0"/>
        <w:keepLines w:val="0"/>
        <w:pageBreakBefore w:val="0"/>
        <w:kinsoku/>
        <w:wordWrap/>
        <w:overflowPunct/>
        <w:topLinePunct w:val="0"/>
        <w:bidi w:val="0"/>
        <w:spacing w:before="0" w:beforeLines="0" w:beforeAutospacing="0" w:after="0" w:afterLines="0" w:afterAutospacing="0" w:line="394" w:lineRule="exact"/>
        <w:jc w:val="center"/>
        <w:textAlignment w:val="auto"/>
        <w:outlineLvl w:val="1"/>
        <w:rPr>
          <w:rStyle w:val="16"/>
          <w:rFonts w:hint="eastAsia" w:ascii="宋体" w:hAnsi="宋体" w:eastAsia="宋体" w:cs="宋体"/>
          <w:b/>
          <w:bCs/>
          <w:color w:val="auto"/>
          <w:sz w:val="24"/>
          <w:szCs w:val="24"/>
          <w:highlight w:val="none"/>
        </w:rPr>
      </w:pPr>
      <w:r>
        <w:rPr>
          <w:rStyle w:val="16"/>
          <w:rFonts w:hint="eastAsia" w:ascii="宋体" w:hAnsi="宋体" w:eastAsia="宋体" w:cs="宋体"/>
          <w:b/>
          <w:bCs/>
          <w:color w:val="auto"/>
          <w:sz w:val="24"/>
          <w:szCs w:val="24"/>
          <w:highlight w:val="none"/>
          <w:lang w:val="en-US" w:eastAsia="zh-CN"/>
        </w:rPr>
        <w:t>二、</w:t>
      </w:r>
      <w:r>
        <w:rPr>
          <w:rStyle w:val="16"/>
          <w:rFonts w:hint="eastAsia" w:ascii="宋体" w:hAnsi="宋体" w:eastAsia="宋体" w:cs="宋体"/>
          <w:b/>
          <w:bCs/>
          <w:color w:val="auto"/>
          <w:sz w:val="24"/>
          <w:szCs w:val="24"/>
          <w:highlight w:val="none"/>
        </w:rPr>
        <w:t>资格审查</w:t>
      </w:r>
    </w:p>
    <w:p>
      <w:pPr>
        <w:pStyle w:val="19"/>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1、资格审查</w:t>
      </w:r>
    </w:p>
    <w:p>
      <w:pPr>
        <w:pStyle w:val="19"/>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①一般资格证明文件：</w:t>
      </w:r>
    </w:p>
    <w:p>
      <w:pPr>
        <w:pStyle w:val="19"/>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1：</w:t>
      </w:r>
    </w:p>
    <w:tbl>
      <w:tblPr>
        <w:tblStyle w:val="14"/>
        <w:tblW w:w="4993"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9"/>
        <w:gridCol w:w="2505"/>
        <w:gridCol w:w="66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47" w:type="pct"/>
          </w:tcPr>
          <w:p>
            <w:pPr>
              <w:pStyle w:val="19"/>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序号</w:t>
            </w:r>
          </w:p>
        </w:tc>
        <w:tc>
          <w:tcPr>
            <w:tcW w:w="1245" w:type="pct"/>
          </w:tcPr>
          <w:p>
            <w:pPr>
              <w:pStyle w:val="19"/>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资格审查要求概况</w:t>
            </w:r>
          </w:p>
        </w:tc>
        <w:tc>
          <w:tcPr>
            <w:tcW w:w="3307" w:type="pct"/>
          </w:tcPr>
          <w:p>
            <w:pPr>
              <w:pStyle w:val="19"/>
              <w:keepNext w:val="0"/>
              <w:keepLines w:val="0"/>
              <w:pageBreakBefore w:val="0"/>
              <w:kinsoku/>
              <w:wordWrap/>
              <w:overflowPunct/>
              <w:topLinePunct w:val="0"/>
              <w:bidi w:val="0"/>
              <w:spacing w:beforeAutospacing="0" w:afterAutospacing="0" w:line="394"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47" w:type="pct"/>
          </w:tcPr>
          <w:p>
            <w:pPr>
              <w:pStyle w:val="19"/>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45" w:type="pct"/>
          </w:tcPr>
          <w:p>
            <w:pPr>
              <w:pStyle w:val="19"/>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单位授权书</w:t>
            </w:r>
          </w:p>
        </w:tc>
        <w:tc>
          <w:tcPr>
            <w:tcW w:w="3307" w:type="pct"/>
          </w:tcPr>
          <w:p>
            <w:pPr>
              <w:pStyle w:val="19"/>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47" w:type="pct"/>
          </w:tcPr>
          <w:p>
            <w:pPr>
              <w:pStyle w:val="19"/>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45" w:type="pct"/>
          </w:tcPr>
          <w:p>
            <w:pPr>
              <w:pStyle w:val="19"/>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营业执照等证明文件</w:t>
            </w:r>
          </w:p>
        </w:tc>
        <w:tc>
          <w:tcPr>
            <w:tcW w:w="3307" w:type="pct"/>
          </w:tcPr>
          <w:p>
            <w:pPr>
              <w:pStyle w:val="19"/>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47" w:type="pct"/>
          </w:tcPr>
          <w:p>
            <w:pPr>
              <w:pStyle w:val="19"/>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45" w:type="pct"/>
          </w:tcPr>
          <w:p>
            <w:pPr>
              <w:pStyle w:val="19"/>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提供财务状况报告(财务报告</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rPr>
              <w:t>资信证明）</w:t>
            </w:r>
          </w:p>
        </w:tc>
        <w:tc>
          <w:tcPr>
            <w:tcW w:w="3307" w:type="pct"/>
          </w:tcPr>
          <w:p>
            <w:pPr>
              <w:pStyle w:val="19"/>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47" w:type="pct"/>
          </w:tcPr>
          <w:p>
            <w:pPr>
              <w:pStyle w:val="19"/>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245" w:type="pct"/>
          </w:tcPr>
          <w:p>
            <w:pPr>
              <w:pStyle w:val="19"/>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依法缴纳税收证明材料</w:t>
            </w:r>
          </w:p>
        </w:tc>
        <w:tc>
          <w:tcPr>
            <w:tcW w:w="3307" w:type="pct"/>
          </w:tcPr>
          <w:p>
            <w:pPr>
              <w:pStyle w:val="19"/>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47" w:type="pct"/>
          </w:tcPr>
          <w:p>
            <w:pPr>
              <w:pStyle w:val="19"/>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245" w:type="pct"/>
          </w:tcPr>
          <w:p>
            <w:pPr>
              <w:pStyle w:val="19"/>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依法缴纳社会保障资金证明材料</w:t>
            </w:r>
          </w:p>
        </w:tc>
        <w:tc>
          <w:tcPr>
            <w:tcW w:w="3307" w:type="pct"/>
          </w:tcPr>
          <w:p>
            <w:pPr>
              <w:pStyle w:val="19"/>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47" w:type="pct"/>
          </w:tcPr>
          <w:p>
            <w:pPr>
              <w:pStyle w:val="19"/>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245" w:type="pct"/>
          </w:tcPr>
          <w:p>
            <w:pPr>
              <w:pStyle w:val="19"/>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具备履行合同所必需设备和专业技术能力的声明函(若有)</w:t>
            </w:r>
          </w:p>
        </w:tc>
        <w:tc>
          <w:tcPr>
            <w:tcW w:w="3307" w:type="pct"/>
          </w:tcPr>
          <w:p>
            <w:pPr>
              <w:pStyle w:val="19"/>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47" w:type="pct"/>
          </w:tcPr>
          <w:p>
            <w:pPr>
              <w:pStyle w:val="19"/>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245" w:type="pct"/>
          </w:tcPr>
          <w:p>
            <w:pPr>
              <w:pStyle w:val="19"/>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参加采购活动前三年内在经营活动中没有重大违法记录的声明</w:t>
            </w:r>
          </w:p>
        </w:tc>
        <w:tc>
          <w:tcPr>
            <w:tcW w:w="3307" w:type="pct"/>
          </w:tcPr>
          <w:p>
            <w:pPr>
              <w:pStyle w:val="19"/>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47" w:type="pct"/>
          </w:tcPr>
          <w:p>
            <w:pPr>
              <w:pStyle w:val="19"/>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245" w:type="pct"/>
          </w:tcPr>
          <w:p>
            <w:pPr>
              <w:pStyle w:val="19"/>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信用记录查询结果</w:t>
            </w:r>
          </w:p>
        </w:tc>
        <w:tc>
          <w:tcPr>
            <w:tcW w:w="3307" w:type="pct"/>
          </w:tcPr>
          <w:p>
            <w:pPr>
              <w:pStyle w:val="19"/>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①信用记录查询的截止时点：信用记录查询的截止时点为本项目投标截止当日。 ②信用记录查询渠道：信用中国（www.creditchina.gov.cn）、中国政府采购网（www.ccgp.gov.cn）。 ③信用记录的查询：</w:t>
            </w:r>
            <w:r>
              <w:rPr>
                <w:rFonts w:hint="eastAsia" w:ascii="宋体" w:hAnsi="宋体" w:eastAsia="宋体" w:cs="宋体"/>
                <w:color w:val="auto"/>
                <w:sz w:val="24"/>
                <w:szCs w:val="24"/>
                <w:highlight w:val="none"/>
              </w:rPr>
              <w:t>由资格</w:t>
            </w:r>
            <w:r>
              <w:rPr>
                <w:rFonts w:hint="eastAsia" w:ascii="宋体" w:hAnsi="宋体" w:eastAsia="宋体" w:cs="宋体"/>
                <w:color w:val="auto"/>
                <w:sz w:val="24"/>
                <w:szCs w:val="24"/>
                <w:highlight w:val="none"/>
              </w:rPr>
              <w:t>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47" w:type="pct"/>
          </w:tcPr>
          <w:p>
            <w:pPr>
              <w:pStyle w:val="19"/>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245" w:type="pct"/>
          </w:tcPr>
          <w:p>
            <w:pPr>
              <w:pStyle w:val="19"/>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中小企业声明函（以资格条件落实中小企业扶持政策时适用 ）</w:t>
            </w:r>
          </w:p>
        </w:tc>
        <w:tc>
          <w:tcPr>
            <w:tcW w:w="3307" w:type="pct"/>
          </w:tcPr>
          <w:p>
            <w:pPr>
              <w:pStyle w:val="19"/>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47" w:type="pct"/>
          </w:tcPr>
          <w:p>
            <w:pPr>
              <w:pStyle w:val="19"/>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245" w:type="pct"/>
          </w:tcPr>
          <w:p>
            <w:pPr>
              <w:pStyle w:val="19"/>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联合体协议（若有）</w:t>
            </w:r>
          </w:p>
        </w:tc>
        <w:tc>
          <w:tcPr>
            <w:tcW w:w="3307" w:type="pct"/>
          </w:tcPr>
          <w:p>
            <w:pPr>
              <w:pStyle w:val="19"/>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①招标文件接受联合体投标且投标人为联合体的，投标人应提供本协议；否则无须提供。 ②本协议由委托代理人签字或盖章的，应按照招标文件第七章载明的格式提供“单位授权书”。</w:t>
            </w:r>
          </w:p>
        </w:tc>
      </w:tr>
    </w:tbl>
    <w:p>
      <w:pPr>
        <w:pStyle w:val="19"/>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※备注说明</w:t>
      </w:r>
    </w:p>
    <w:p>
      <w:pPr>
        <w:pStyle w:val="19"/>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①投标人应根据自身实际情况提供上述资格要求的证明材料，格式可参考招标文件第七章提供。</w:t>
      </w:r>
    </w:p>
    <w:p>
      <w:pPr>
        <w:pStyle w:val="19"/>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②投标人提供的相应证明材料复印件均应符合：内容完整、清晰、整洁，并由投标人加盖其单位公章。</w:t>
      </w:r>
    </w:p>
    <w:p>
      <w:pPr>
        <w:pStyle w:val="19"/>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②.其他资格证明文件：</w:t>
      </w:r>
    </w:p>
    <w:p>
      <w:pPr>
        <w:pStyle w:val="19"/>
        <w:keepNext w:val="0"/>
        <w:keepLines w:val="0"/>
        <w:pageBreakBefore w:val="0"/>
        <w:kinsoku/>
        <w:wordWrap/>
        <w:overflowPunct/>
        <w:topLinePunct w:val="0"/>
        <w:bidi w:val="0"/>
        <w:spacing w:beforeAutospacing="0" w:afterAutospacing="0" w:line="394"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1：</w:t>
      </w:r>
    </w:p>
    <w:tbl>
      <w:tblPr>
        <w:tblStyle w:val="14"/>
        <w:tblW w:w="4995"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570"/>
        <w:gridCol w:w="749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277" w:type="pct"/>
          </w:tcPr>
          <w:p>
            <w:pPr>
              <w:pStyle w:val="19"/>
              <w:keepNext w:val="0"/>
              <w:keepLines w:val="0"/>
              <w:pageBreakBefore w:val="0"/>
              <w:kinsoku/>
              <w:wordWrap/>
              <w:overflowPunct/>
              <w:topLinePunct w:val="0"/>
              <w:bidi w:val="0"/>
              <w:spacing w:beforeAutospacing="0" w:afterAutospacing="0" w:line="394"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资格审查要求概况</w:t>
            </w:r>
          </w:p>
        </w:tc>
        <w:tc>
          <w:tcPr>
            <w:tcW w:w="3722" w:type="pct"/>
          </w:tcPr>
          <w:p>
            <w:pPr>
              <w:pStyle w:val="19"/>
              <w:keepNext w:val="0"/>
              <w:keepLines w:val="0"/>
              <w:pageBreakBefore w:val="0"/>
              <w:kinsoku/>
              <w:wordWrap/>
              <w:overflowPunct/>
              <w:topLinePunct w:val="0"/>
              <w:bidi w:val="0"/>
              <w:spacing w:beforeAutospacing="0" w:afterAutospacing="0" w:line="394"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277" w:type="pct"/>
          </w:tcPr>
          <w:p>
            <w:pPr>
              <w:pStyle w:val="19"/>
              <w:keepNext w:val="0"/>
              <w:keepLines w:val="0"/>
              <w:pageBreakBefore w:val="0"/>
              <w:kinsoku/>
              <w:wordWrap/>
              <w:overflowPunct/>
              <w:topLinePunct w:val="0"/>
              <w:bidi w:val="0"/>
              <w:spacing w:beforeAutospacing="0" w:afterAutospacing="0" w:line="394"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招标文件规定的其他资格证明文件（若有）</w:t>
            </w:r>
          </w:p>
        </w:tc>
        <w:tc>
          <w:tcPr>
            <w:tcW w:w="3722" w:type="pct"/>
          </w:tcPr>
          <w:p>
            <w:pPr>
              <w:pStyle w:val="19"/>
              <w:keepNext w:val="0"/>
              <w:keepLines w:val="0"/>
              <w:pageBreakBefore w:val="0"/>
              <w:kinsoku/>
              <w:wordWrap/>
              <w:overflowPunct/>
              <w:topLinePunct w:val="0"/>
              <w:bidi w:val="0"/>
              <w:spacing w:beforeAutospacing="0" w:afterAutospacing="0" w:line="394"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投货物若属于医疗器械管理范畴，按照国家《医疗器械监督管理条例》，应符合以下标准：①投标人为制造商的，须提供《医疗器械生产企业许可证》（进口产品除外）；投标人为经销商的，投标货物若属于三类医疗器械，须提供《医疗器械经营企业许可证》，投标货物若属于二类医疗器械，提供《医疗器械经营企业许可证》或提供《二类医疗器械的经营备案凭证》，投标货物若属于一类医疗器械，则无须提供此项；②投标货物属于《医疗器械监督管理条例》规定的第一类医疗器械产品应提供《第一类医疗器械备案凭证》，属于第二类、第三类医疗器械产品应取得《医疗器械注册证》(如有注册登记表应提供)。注：所有资格证明文件复印件须在有效期内。</w:t>
            </w:r>
          </w:p>
        </w:tc>
      </w:tr>
    </w:tbl>
    <w:p>
      <w:pPr>
        <w:pStyle w:val="19"/>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2、资格审查合格的投标人不足三家的，不进行评标。同时，本次采购活动结束，</w:t>
      </w:r>
      <w:r>
        <w:rPr>
          <w:rFonts w:hint="eastAsia" w:ascii="宋体" w:hAnsi="宋体" w:eastAsia="宋体" w:cs="宋体"/>
          <w:color w:val="auto"/>
          <w:sz w:val="24"/>
          <w:szCs w:val="24"/>
          <w:highlight w:val="none"/>
          <w:lang w:eastAsia="zh-CN"/>
        </w:rPr>
        <w:t>福建吉瑞招标代理有限公司</w:t>
      </w:r>
      <w:r>
        <w:rPr>
          <w:rFonts w:hint="eastAsia" w:ascii="宋体" w:hAnsi="宋体" w:eastAsia="宋体" w:cs="宋体"/>
          <w:color w:val="auto"/>
          <w:sz w:val="24"/>
          <w:szCs w:val="24"/>
          <w:highlight w:val="none"/>
        </w:rPr>
        <w:t>将依法组织后续采购活动（包括但不限于：重新招标、采用其他方式采购等）。资格审查情况不得私自外泄，有关信息由</w:t>
      </w:r>
      <w:r>
        <w:rPr>
          <w:rFonts w:hint="eastAsia" w:ascii="宋体" w:hAnsi="宋体" w:eastAsia="宋体" w:cs="宋体"/>
          <w:color w:val="auto"/>
          <w:sz w:val="24"/>
          <w:szCs w:val="24"/>
          <w:highlight w:val="none"/>
          <w:lang w:eastAsia="zh-CN"/>
        </w:rPr>
        <w:t>福建吉瑞招标代理有限公司</w:t>
      </w:r>
      <w:r>
        <w:rPr>
          <w:rFonts w:hint="eastAsia" w:ascii="宋体" w:hAnsi="宋体" w:eastAsia="宋体" w:cs="宋体"/>
          <w:color w:val="auto"/>
          <w:sz w:val="24"/>
          <w:szCs w:val="24"/>
          <w:highlight w:val="none"/>
        </w:rPr>
        <w:t>统一对外发布。</w:t>
      </w:r>
    </w:p>
    <w:p>
      <w:pPr>
        <w:pStyle w:val="12"/>
        <w:keepNext w:val="0"/>
        <w:keepLines w:val="0"/>
        <w:pageBreakBefore w:val="0"/>
        <w:kinsoku/>
        <w:wordWrap/>
        <w:overflowPunct/>
        <w:topLinePunct w:val="0"/>
        <w:bidi w:val="0"/>
        <w:spacing w:before="0" w:beforeLines="0" w:beforeAutospacing="0" w:after="0" w:afterLines="0" w:afterAutospacing="0" w:line="394" w:lineRule="exact"/>
        <w:jc w:val="center"/>
        <w:textAlignment w:val="auto"/>
        <w:outlineLvl w:val="1"/>
        <w:rPr>
          <w:rStyle w:val="16"/>
          <w:rFonts w:hint="eastAsia" w:ascii="宋体" w:hAnsi="宋体" w:eastAsia="宋体" w:cs="宋体"/>
          <w:b/>
          <w:bCs/>
          <w:color w:val="auto"/>
          <w:sz w:val="24"/>
          <w:szCs w:val="24"/>
          <w:highlight w:val="none"/>
        </w:rPr>
      </w:pPr>
      <w:r>
        <w:rPr>
          <w:rStyle w:val="16"/>
          <w:rFonts w:hint="eastAsia" w:ascii="宋体" w:hAnsi="宋体" w:eastAsia="宋体" w:cs="宋体"/>
          <w:b/>
          <w:bCs/>
          <w:color w:val="auto"/>
          <w:sz w:val="24"/>
          <w:szCs w:val="24"/>
          <w:highlight w:val="none"/>
          <w:lang w:val="en-US" w:eastAsia="zh-CN"/>
        </w:rPr>
        <w:t>三</w:t>
      </w:r>
      <w:r>
        <w:rPr>
          <w:rStyle w:val="16"/>
          <w:rFonts w:hint="eastAsia" w:ascii="宋体" w:hAnsi="宋体" w:eastAsia="宋体" w:cs="宋体"/>
          <w:b/>
          <w:bCs/>
          <w:color w:val="auto"/>
          <w:sz w:val="24"/>
          <w:szCs w:val="24"/>
          <w:highlight w:val="none"/>
        </w:rPr>
        <w:t>、评标</w:t>
      </w:r>
    </w:p>
    <w:p>
      <w:pPr>
        <w:pStyle w:val="12"/>
        <w:keepNext w:val="0"/>
        <w:keepLines w:val="0"/>
        <w:pageBreakBefore w:val="0"/>
        <w:kinsoku/>
        <w:wordWrap/>
        <w:overflowPunct/>
        <w:topLinePunct w:val="0"/>
        <w:bidi w:val="0"/>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本项目采用</w:t>
      </w:r>
      <w:r>
        <w:rPr>
          <w:rFonts w:hint="eastAsia" w:ascii="宋体" w:hAnsi="宋体" w:eastAsia="宋体" w:cs="宋体"/>
          <w:b/>
          <w:color w:val="auto"/>
          <w:sz w:val="24"/>
          <w:szCs w:val="24"/>
          <w:highlight w:val="none"/>
          <w:lang w:eastAsia="zh-CN"/>
        </w:rPr>
        <w:t>综合评分法</w:t>
      </w:r>
      <w:r>
        <w:rPr>
          <w:rFonts w:hint="eastAsia" w:ascii="宋体" w:hAnsi="宋体" w:eastAsia="宋体" w:cs="宋体"/>
          <w:color w:val="auto"/>
          <w:sz w:val="24"/>
          <w:szCs w:val="24"/>
          <w:highlight w:val="none"/>
        </w:rPr>
        <w:t>，分两阶段评标，第一阶段评技术商务部分，第二阶段评报价部分。</w:t>
      </w:r>
    </w:p>
    <w:p>
      <w:pPr>
        <w:keepNext w:val="0"/>
        <w:keepLines w:val="0"/>
        <w:pageBreakBefore w:val="0"/>
        <w:kinsoku/>
        <w:wordWrap/>
        <w:overflowPunct/>
        <w:topLinePunct w:val="0"/>
        <w:bidi w:val="0"/>
        <w:spacing w:beforeAutospacing="0" w:afterAutospacing="0" w:line="394" w:lineRule="exact"/>
        <w:ind w:firstLine="547" w:firstLineChars="22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阶段进行技术商务部分的评标，开标一览表及报价部分投标文件在商务技术部分评分结束前先密封保管，采购人、采购代理机构不得将投标人的报价向评委公布。评标委员会按照政府采购法律法规及相关规定、招标文件规定的评标方法和标准，评出实质性响应招标文件技术商务要求的投标人，并计算出各投标人技术商务部分的得分（采用最低评标价法的除外）。</w:t>
      </w:r>
    </w:p>
    <w:p>
      <w:pPr>
        <w:keepNext w:val="0"/>
        <w:keepLines w:val="0"/>
        <w:pageBreakBefore w:val="0"/>
        <w:kinsoku/>
        <w:wordWrap/>
        <w:overflowPunct/>
        <w:topLinePunct w:val="0"/>
        <w:bidi w:val="0"/>
        <w:spacing w:beforeAutospacing="0" w:afterAutospacing="0" w:line="394" w:lineRule="exact"/>
        <w:ind w:firstLine="547" w:firstLineChars="22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阶段进行价格部分评标,经第一阶段评选出的实质性响应招标文件技术商务要求的投标人进入第二阶段评标。评标委员会按招标文件规定的评标方法和标准，评出实质性响应招标文件报价要求的投标人，并在各项优惠政策加分或价格扣除基础上计算出各投标人价格部分的得分或经折扣后的报价。</w:t>
      </w:r>
    </w:p>
    <w:p>
      <w:pPr>
        <w:keepNext w:val="0"/>
        <w:keepLines w:val="0"/>
        <w:pageBreakBefore w:val="0"/>
        <w:kinsoku/>
        <w:wordWrap/>
        <w:overflowPunct/>
        <w:topLinePunct w:val="0"/>
        <w:bidi w:val="0"/>
        <w:spacing w:beforeAutospacing="0" w:afterAutospacing="0" w:line="394" w:lineRule="exact"/>
        <w:ind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汇总各合格投标供应商的综合得分</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取小数点后的2位数</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，并按各合格投标供应商的综合得分由高到低顺序，</w:t>
      </w:r>
      <w:r>
        <w:rPr>
          <w:rFonts w:hint="eastAsia" w:ascii="宋体" w:hAnsi="宋体" w:eastAsia="宋体" w:cs="宋体"/>
          <w:b/>
          <w:color w:val="auto"/>
          <w:sz w:val="24"/>
          <w:szCs w:val="24"/>
          <w:highlight w:val="none"/>
        </w:rPr>
        <w:t>推荐综合得分最高的为中标候选人</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本项目只推荐一名中标候选人。</w:t>
      </w:r>
      <w:r>
        <w:rPr>
          <w:rFonts w:hint="eastAsia" w:ascii="宋体" w:hAnsi="宋体" w:eastAsia="宋体" w:cs="宋体"/>
          <w:color w:val="auto"/>
          <w:sz w:val="24"/>
          <w:szCs w:val="24"/>
          <w:highlight w:val="none"/>
        </w:rPr>
        <w:t>若有相同的最高得分，则其中投标总价低的投标供应商将被排序在前；若有相同的最高得分且投标报价相同的，则按技术部分得分从高到低顺序进行排列，技术部分得分最高的投标供应商将被排序在前。</w:t>
      </w:r>
    </w:p>
    <w:p>
      <w:pPr>
        <w:pStyle w:val="12"/>
        <w:keepNext w:val="0"/>
        <w:keepLines w:val="0"/>
        <w:pageBreakBefore w:val="0"/>
        <w:kinsoku/>
        <w:wordWrap/>
        <w:overflowPunct/>
        <w:topLinePunct w:val="0"/>
        <w:bidi w:val="0"/>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4、评标程序</w:t>
      </w:r>
    </w:p>
    <w:p>
      <w:pPr>
        <w:pStyle w:val="12"/>
        <w:keepNext w:val="0"/>
        <w:keepLines w:val="0"/>
        <w:pageBreakBefore w:val="0"/>
        <w:kinsoku/>
        <w:wordWrap/>
        <w:overflowPunct/>
        <w:topLinePunct w:val="0"/>
        <w:bidi w:val="0"/>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4.1评标前的准备工作</w:t>
      </w:r>
    </w:p>
    <w:p>
      <w:pPr>
        <w:pStyle w:val="12"/>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（1）全体评委应认真审阅招标文件，了解评委应履行或遵守的职责、义务和评标纪律。</w:t>
      </w:r>
    </w:p>
    <w:p>
      <w:pPr>
        <w:pStyle w:val="12"/>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（2）参加评标委员会的采购人代表可对本项目的背景和采购需求进行介绍，介绍材料应以书面形式提交（随</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一并存档），介绍内容不得含有歧视性、倾向性意见，不得超出招标文件所述范围。</w:t>
      </w:r>
    </w:p>
    <w:p>
      <w:pPr>
        <w:pStyle w:val="12"/>
        <w:keepNext w:val="0"/>
        <w:keepLines w:val="0"/>
        <w:pageBreakBefore w:val="0"/>
        <w:kinsoku/>
        <w:wordWrap/>
        <w:overflowPunct/>
        <w:topLinePunct w:val="0"/>
        <w:bidi w:val="0"/>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4.2投标文件初审</w:t>
      </w:r>
    </w:p>
    <w:p>
      <w:pPr>
        <w:pStyle w:val="12"/>
        <w:keepNext w:val="0"/>
        <w:keepLines w:val="0"/>
        <w:pageBreakBefore w:val="0"/>
        <w:numPr>
          <w:ilvl w:val="0"/>
          <w:numId w:val="2"/>
        </w:numPr>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资格性检查</w:t>
      </w:r>
    </w:p>
    <w:p>
      <w:pPr>
        <w:pStyle w:val="12"/>
        <w:keepNext w:val="0"/>
        <w:keepLines w:val="0"/>
        <w:pageBreakBefore w:val="0"/>
        <w:kinsoku/>
        <w:wordWrap/>
        <w:overflowPunct/>
        <w:topLinePunct w:val="0"/>
        <w:bidi w:val="0"/>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①资格审查的依据是招标文件和投标文件。</w:t>
      </w:r>
    </w:p>
    <w:p>
      <w:pPr>
        <w:pStyle w:val="12"/>
        <w:keepNext w:val="0"/>
        <w:keepLines w:val="0"/>
        <w:pageBreakBefore w:val="0"/>
        <w:kinsoku/>
        <w:wordWrap/>
        <w:overflowPunct/>
        <w:topLinePunct w:val="0"/>
        <w:bidi w:val="0"/>
        <w:spacing w:before="0" w:beforeLines="0" w:beforeAutospacing="0" w:after="0" w:afterLines="0" w:afterAutospacing="0" w:line="394"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②具体审查：</w:t>
      </w:r>
      <w:r>
        <w:rPr>
          <w:rStyle w:val="16"/>
          <w:rFonts w:hint="eastAsia" w:ascii="宋体" w:hAnsi="宋体" w:eastAsia="宋体" w:cs="宋体"/>
          <w:color w:val="auto"/>
          <w:sz w:val="24"/>
          <w:szCs w:val="24"/>
          <w:highlight w:val="none"/>
        </w:rPr>
        <w:t>“投标函”、“投标人的投标文件”及“投标保证金”</w:t>
      </w:r>
      <w:r>
        <w:rPr>
          <w:rFonts w:hint="eastAsia" w:ascii="宋体" w:hAnsi="宋体" w:eastAsia="宋体" w:cs="宋体"/>
          <w:color w:val="auto"/>
          <w:sz w:val="24"/>
          <w:szCs w:val="24"/>
          <w:highlight w:val="none"/>
        </w:rPr>
        <w:t>等组成部分。</w:t>
      </w:r>
    </w:p>
    <w:p>
      <w:pPr>
        <w:pStyle w:val="12"/>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③投标人的资格及资信证明文件：</w:t>
      </w:r>
    </w:p>
    <w:p>
      <w:pPr>
        <w:pStyle w:val="12"/>
        <w:keepNext w:val="0"/>
        <w:keepLines w:val="0"/>
        <w:pageBreakBefore w:val="0"/>
        <w:tabs>
          <w:tab w:val="left" w:pos="312"/>
        </w:tabs>
        <w:kinsoku/>
        <w:wordWrap/>
        <w:overflowPunct/>
        <w:topLinePunct w:val="0"/>
        <w:bidi w:val="0"/>
        <w:spacing w:before="0" w:beforeLines="0" w:beforeAutospacing="0" w:after="0" w:afterLines="0" w:afterAutospacing="0" w:line="394" w:lineRule="exact"/>
        <w:ind w:firstLine="480" w:firstLineChars="200"/>
        <w:textAlignment w:val="auto"/>
        <w:rPr>
          <w:rStyle w:val="16"/>
          <w:rFonts w:hint="eastAsia" w:ascii="宋体" w:hAnsi="宋体" w:eastAsia="宋体" w:cs="宋体"/>
          <w:color w:val="auto"/>
          <w:sz w:val="24"/>
          <w:szCs w:val="24"/>
          <w:highlight w:val="none"/>
        </w:rPr>
      </w:pPr>
      <w:r>
        <w:rPr>
          <w:rStyle w:val="16"/>
          <w:rFonts w:hint="eastAsia" w:ascii="宋体" w:hAnsi="宋体" w:eastAsia="宋体" w:cs="宋体"/>
          <w:color w:val="auto"/>
          <w:sz w:val="24"/>
          <w:szCs w:val="24"/>
          <w:highlight w:val="none"/>
        </w:rPr>
        <w:t>a.一般资格证明文件：</w:t>
      </w:r>
    </w:p>
    <w:p>
      <w:pPr>
        <w:pStyle w:val="12"/>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投标</w:t>
      </w:r>
      <w:r>
        <w:rPr>
          <w:rFonts w:hint="eastAsia" w:ascii="宋体" w:hAnsi="宋体" w:eastAsia="宋体" w:cs="宋体"/>
          <w:color w:val="auto"/>
          <w:sz w:val="24"/>
          <w:szCs w:val="24"/>
          <w:highlight w:val="none"/>
          <w:lang w:bidi="ar"/>
        </w:rPr>
        <w:t>人应按照</w:t>
      </w:r>
      <w:r>
        <w:rPr>
          <w:rFonts w:hint="eastAsia" w:ascii="宋体" w:hAnsi="宋体" w:eastAsia="宋体" w:cs="宋体"/>
          <w:color w:val="auto"/>
          <w:sz w:val="24"/>
          <w:szCs w:val="24"/>
          <w:highlight w:val="none"/>
          <w:lang w:val="en-US" w:eastAsia="zh-CN" w:bidi="ar"/>
        </w:rPr>
        <w:t>本</w:t>
      </w:r>
      <w:r>
        <w:rPr>
          <w:rFonts w:hint="eastAsia" w:ascii="宋体" w:hAnsi="宋体" w:eastAsia="宋体" w:cs="宋体"/>
          <w:color w:val="auto"/>
          <w:sz w:val="24"/>
          <w:szCs w:val="24"/>
          <w:highlight w:val="none"/>
          <w:lang w:bidi="ar"/>
        </w:rPr>
        <w:t>章“二、资格审查”规定提供。</w:t>
      </w:r>
    </w:p>
    <w:p>
      <w:pPr>
        <w:pStyle w:val="12"/>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b.</w:t>
      </w:r>
      <w:r>
        <w:rPr>
          <w:rStyle w:val="16"/>
          <w:rFonts w:hint="eastAsia" w:ascii="宋体" w:hAnsi="宋体" w:eastAsia="宋体" w:cs="宋体"/>
          <w:b/>
          <w:bCs/>
          <w:color w:val="auto"/>
          <w:sz w:val="24"/>
          <w:szCs w:val="24"/>
          <w:highlight w:val="none"/>
        </w:rPr>
        <w:t>其他</w:t>
      </w:r>
      <w:r>
        <w:rPr>
          <w:rStyle w:val="16"/>
          <w:rFonts w:hint="eastAsia" w:ascii="宋体" w:hAnsi="宋体" w:eastAsia="宋体" w:cs="宋体"/>
          <w:color w:val="auto"/>
          <w:sz w:val="24"/>
          <w:szCs w:val="24"/>
          <w:highlight w:val="none"/>
        </w:rPr>
        <w:t>资格证明文件：</w:t>
      </w:r>
    </w:p>
    <w:p>
      <w:pPr>
        <w:pStyle w:val="12"/>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投标</w:t>
      </w:r>
      <w:r>
        <w:rPr>
          <w:rFonts w:hint="eastAsia" w:ascii="宋体" w:hAnsi="宋体" w:eastAsia="宋体" w:cs="宋体"/>
          <w:color w:val="auto"/>
          <w:sz w:val="24"/>
          <w:szCs w:val="24"/>
          <w:highlight w:val="none"/>
          <w:lang w:bidi="ar"/>
        </w:rPr>
        <w:t>人应按照</w:t>
      </w:r>
      <w:r>
        <w:rPr>
          <w:rFonts w:hint="eastAsia" w:ascii="宋体" w:hAnsi="宋体" w:eastAsia="宋体" w:cs="宋体"/>
          <w:color w:val="auto"/>
          <w:sz w:val="24"/>
          <w:szCs w:val="24"/>
          <w:highlight w:val="none"/>
          <w:lang w:val="en-US" w:eastAsia="zh-CN" w:bidi="ar"/>
        </w:rPr>
        <w:t>本</w:t>
      </w:r>
      <w:r>
        <w:rPr>
          <w:rFonts w:hint="eastAsia" w:ascii="宋体" w:hAnsi="宋体" w:eastAsia="宋体" w:cs="宋体"/>
          <w:color w:val="auto"/>
          <w:sz w:val="24"/>
          <w:szCs w:val="24"/>
          <w:highlight w:val="none"/>
          <w:lang w:bidi="ar"/>
        </w:rPr>
        <w:t>章“二、资格审查”规定提供。</w:t>
      </w:r>
    </w:p>
    <w:p>
      <w:pPr>
        <w:pStyle w:val="12"/>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④有下列情形之一的，</w:t>
      </w:r>
      <w:r>
        <w:rPr>
          <w:rStyle w:val="16"/>
          <w:rFonts w:hint="eastAsia" w:ascii="宋体" w:hAnsi="宋体" w:eastAsia="宋体" w:cs="宋体"/>
          <w:color w:val="auto"/>
          <w:sz w:val="24"/>
          <w:szCs w:val="24"/>
          <w:highlight w:val="none"/>
        </w:rPr>
        <w:t>资格性检查不合格：</w:t>
      </w:r>
    </w:p>
    <w:p>
      <w:pPr>
        <w:pStyle w:val="12"/>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Style w:val="16"/>
          <w:rFonts w:hint="eastAsia" w:ascii="宋体" w:hAnsi="宋体" w:eastAsia="宋体" w:cs="宋体"/>
          <w:color w:val="auto"/>
          <w:sz w:val="24"/>
          <w:szCs w:val="24"/>
          <w:highlight w:val="none"/>
        </w:rPr>
        <w:t>一般情形：</w:t>
      </w:r>
    </w:p>
    <w:tbl>
      <w:tblPr>
        <w:tblStyle w:val="14"/>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00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305" w:hRule="atLeast"/>
        </w:trPr>
        <w:tc>
          <w:tcPr>
            <w:tcW w:w="5000" w:type="pct"/>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pStyle w:val="12"/>
              <w:keepNext w:val="0"/>
              <w:keepLines w:val="0"/>
              <w:pageBreakBefore w:val="0"/>
              <w:kinsoku/>
              <w:wordWrap/>
              <w:overflowPunct/>
              <w:topLinePunct w:val="0"/>
              <w:bidi w:val="0"/>
              <w:spacing w:before="0" w:beforeLines="0" w:beforeAutospacing="0" w:after="0" w:afterLines="0" w:afterAutospacing="0" w:line="394"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305" w:hRule="atLeast"/>
        </w:trPr>
        <w:tc>
          <w:tcPr>
            <w:tcW w:w="5000" w:type="pct"/>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top"/>
          </w:tcPr>
          <w:p>
            <w:pPr>
              <w:pStyle w:val="12"/>
              <w:keepNext w:val="0"/>
              <w:keepLines w:val="0"/>
              <w:pageBreakBefore w:val="0"/>
              <w:kinsoku/>
              <w:wordWrap/>
              <w:overflowPunct/>
              <w:topLinePunct w:val="0"/>
              <w:bidi w:val="0"/>
              <w:spacing w:before="0" w:beforeLines="0" w:beforeAutospacing="0" w:after="0" w:afterLines="0" w:afterAutospacing="0" w:line="394"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未按照招标文件规定提交投标函；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305" w:hRule="atLeast"/>
        </w:trPr>
        <w:tc>
          <w:tcPr>
            <w:tcW w:w="5000" w:type="pct"/>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top"/>
          </w:tcPr>
          <w:p>
            <w:pPr>
              <w:pStyle w:val="12"/>
              <w:keepNext w:val="0"/>
              <w:keepLines w:val="0"/>
              <w:pageBreakBefore w:val="0"/>
              <w:kinsoku/>
              <w:wordWrap/>
              <w:overflowPunct/>
              <w:topLinePunct w:val="0"/>
              <w:bidi w:val="0"/>
              <w:spacing w:before="0" w:beforeLines="0" w:beforeAutospacing="0" w:after="0" w:afterLines="0" w:afterAutospacing="0" w:line="394"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319" w:hRule="atLeast"/>
        </w:trPr>
        <w:tc>
          <w:tcPr>
            <w:tcW w:w="5000" w:type="pct"/>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top"/>
          </w:tcPr>
          <w:p>
            <w:pPr>
              <w:pStyle w:val="12"/>
              <w:keepNext w:val="0"/>
              <w:keepLines w:val="0"/>
              <w:pageBreakBefore w:val="0"/>
              <w:kinsoku/>
              <w:wordWrap/>
              <w:overflowPunct/>
              <w:topLinePunct w:val="0"/>
              <w:bidi w:val="0"/>
              <w:spacing w:before="0" w:beforeLines="0" w:beforeAutospacing="0" w:after="0" w:afterLines="0" w:afterAutospacing="0" w:line="394"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未按照招标文件规定提交投标保证金。</w:t>
            </w:r>
          </w:p>
        </w:tc>
      </w:tr>
    </w:tbl>
    <w:p>
      <w:pPr>
        <w:pStyle w:val="12"/>
        <w:keepNext w:val="0"/>
        <w:keepLines w:val="0"/>
        <w:pageBreakBefore w:val="0"/>
        <w:kinsoku/>
        <w:wordWrap/>
        <w:overflowPunct/>
        <w:topLinePunct w:val="0"/>
        <w:bidi w:val="0"/>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c.本项目规定的其他情形：</w:t>
      </w:r>
      <w:r>
        <w:rPr>
          <w:rFonts w:hint="eastAsia" w:ascii="宋体" w:hAnsi="宋体" w:eastAsia="宋体" w:cs="宋体"/>
          <w:color w:val="auto"/>
          <w:sz w:val="24"/>
          <w:szCs w:val="24"/>
          <w:highlight w:val="none"/>
        </w:rPr>
        <w:t>无。</w:t>
      </w:r>
    </w:p>
    <w:p>
      <w:pPr>
        <w:pStyle w:val="12"/>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（2）符合性检查</w:t>
      </w:r>
    </w:p>
    <w:p>
      <w:pPr>
        <w:pStyle w:val="12"/>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lang w:val="en-US"/>
        </w:rPr>
      </w:pPr>
      <w:r>
        <w:rPr>
          <w:rStyle w:val="16"/>
          <w:rFonts w:hint="eastAsia" w:ascii="宋体" w:hAnsi="宋体" w:eastAsia="宋体" w:cs="宋体"/>
          <w:color w:val="auto"/>
          <w:sz w:val="24"/>
          <w:szCs w:val="24"/>
          <w:highlight w:val="none"/>
        </w:rPr>
        <w:t>包1</w:t>
      </w:r>
      <w:r>
        <w:rPr>
          <w:rFonts w:hint="eastAsia" w:ascii="宋体" w:hAnsi="宋体" w:eastAsia="宋体" w:cs="宋体"/>
          <w:color w:val="auto"/>
          <w:sz w:val="24"/>
          <w:szCs w:val="24"/>
          <w:highlight w:val="none"/>
        </w:rPr>
        <w:t xml:space="preserve"> </w:t>
      </w:r>
    </w:p>
    <w:p>
      <w:pPr>
        <w:keepNext w:val="0"/>
        <w:keepLines w:val="0"/>
        <w:pageBreakBefore w:val="0"/>
        <w:widowControl/>
        <w:numPr>
          <w:ilvl w:val="0"/>
          <w:numId w:val="3"/>
        </w:numPr>
        <w:kinsoku/>
        <w:wordWrap/>
        <w:overflowPunct/>
        <w:topLinePunct w:val="0"/>
        <w:bidi w:val="0"/>
        <w:spacing w:beforeAutospacing="0" w:afterAutospacing="0" w:line="394"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评标委员会依据招标文件的实质性要求，对通过资格审查的投标文件进行符合性审查，以确定其是否满足招标文件的实质性要求。</w:t>
      </w:r>
    </w:p>
    <w:p>
      <w:pPr>
        <w:keepNext w:val="0"/>
        <w:keepLines w:val="0"/>
        <w:pageBreakBefore w:val="0"/>
        <w:widowControl/>
        <w:numPr>
          <w:ilvl w:val="0"/>
          <w:numId w:val="3"/>
        </w:numPr>
        <w:kinsoku/>
        <w:wordWrap/>
        <w:overflowPunct/>
        <w:topLinePunct w:val="0"/>
        <w:bidi w:val="0"/>
        <w:spacing w:beforeAutospacing="0" w:afterAutospacing="0" w:line="394"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满足招标文件的实质性要求指投标文件对招标文件实质性要求的响应不存在重大偏差或保留。</w:t>
      </w:r>
    </w:p>
    <w:p>
      <w:pPr>
        <w:keepNext w:val="0"/>
        <w:keepLines w:val="0"/>
        <w:pageBreakBefore w:val="0"/>
        <w:widowControl/>
        <w:numPr>
          <w:ilvl w:val="0"/>
          <w:numId w:val="3"/>
        </w:numPr>
        <w:kinsoku/>
        <w:wordWrap/>
        <w:overflowPunct/>
        <w:topLinePunct w:val="0"/>
        <w:bidi w:val="0"/>
        <w:spacing w:beforeAutospacing="0" w:afterAutospacing="0" w:line="394"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keepNext w:val="0"/>
        <w:keepLines w:val="0"/>
        <w:pageBreakBefore w:val="0"/>
        <w:widowControl/>
        <w:numPr>
          <w:ilvl w:val="0"/>
          <w:numId w:val="3"/>
        </w:numPr>
        <w:kinsoku/>
        <w:wordWrap/>
        <w:overflowPunct/>
        <w:topLinePunct w:val="0"/>
        <w:bidi w:val="0"/>
        <w:spacing w:beforeAutospacing="0" w:afterAutospacing="0" w:line="394"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keepNext w:val="0"/>
        <w:keepLines w:val="0"/>
        <w:pageBreakBefore w:val="0"/>
        <w:widowControl/>
        <w:numPr>
          <w:ilvl w:val="0"/>
          <w:numId w:val="3"/>
        </w:numPr>
        <w:kinsoku/>
        <w:wordWrap/>
        <w:overflowPunct/>
        <w:topLinePunct w:val="0"/>
        <w:bidi w:val="0"/>
        <w:spacing w:beforeAutospacing="0" w:afterAutospacing="0" w:line="394"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评标委员会对所有投标人都执行相同的程序和标准。</w:t>
      </w:r>
    </w:p>
    <w:p>
      <w:pPr>
        <w:keepNext w:val="0"/>
        <w:keepLines w:val="0"/>
        <w:pageBreakBefore w:val="0"/>
        <w:widowControl/>
        <w:numPr>
          <w:ilvl w:val="0"/>
          <w:numId w:val="3"/>
        </w:numPr>
        <w:kinsoku/>
        <w:wordWrap/>
        <w:overflowPunct/>
        <w:topLinePunct w:val="0"/>
        <w:bidi w:val="0"/>
        <w:spacing w:beforeAutospacing="0" w:afterAutospacing="0" w:line="394"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有下列情形之一的，</w:t>
      </w:r>
      <w:r>
        <w:rPr>
          <w:rFonts w:hint="eastAsia" w:ascii="宋体" w:hAnsi="宋体" w:eastAsia="宋体" w:cs="宋体"/>
          <w:b/>
          <w:bCs/>
          <w:color w:val="auto"/>
          <w:kern w:val="0"/>
          <w:sz w:val="24"/>
          <w:szCs w:val="24"/>
          <w:highlight w:val="none"/>
        </w:rPr>
        <w:t>符合性审查不合格：</w:t>
      </w:r>
    </w:p>
    <w:p>
      <w:pPr>
        <w:keepNext w:val="0"/>
        <w:keepLines w:val="0"/>
        <w:pageBreakBefore w:val="0"/>
        <w:widowControl/>
        <w:numPr>
          <w:ilvl w:val="0"/>
          <w:numId w:val="4"/>
        </w:numPr>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一般情形：</w:t>
      </w:r>
    </w:p>
    <w:p>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1.技术商务部分符合性检查。依据招标文件的规定，评标委员会还将从投标文件的有效性、完整性和对招标文件的响应程度进行审查，以确定是否符合对招标文件的实质性要求做出响应。实质性偏离是指：(1)实质性影响合同的范围、质量和履行；(2)实质性违背招标文件，限制了采购人的权利和</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合同项下的义务；(3)不公正地影响了</w:t>
      </w:r>
      <w:r>
        <w:rPr>
          <w:rFonts w:hint="eastAsia" w:ascii="宋体" w:hAnsi="宋体" w:eastAsia="宋体" w:cs="宋体"/>
          <w:color w:val="auto"/>
          <w:sz w:val="24"/>
          <w:szCs w:val="24"/>
          <w:highlight w:val="none"/>
        </w:rPr>
        <w:t>其它</w:t>
      </w:r>
      <w:r>
        <w:rPr>
          <w:rFonts w:hint="eastAsia" w:ascii="宋体" w:hAnsi="宋体" w:eastAsia="宋体" w:cs="宋体"/>
          <w:color w:val="auto"/>
          <w:sz w:val="24"/>
          <w:szCs w:val="24"/>
          <w:highlight w:val="none"/>
        </w:rPr>
        <w:t>做出实质性响应的投标人的竞争地位。对没有实质性响应的投标文件将不进行评估，其投标将被拒绝。凡有下列情况之一者，投标文件也将被视为未实质性响应招标文件要求，按照无效投标处理：</w:t>
      </w:r>
    </w:p>
    <w:p>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(1)投标文件未按规定进行编制、胶装、密封、标记的；</w:t>
      </w:r>
    </w:p>
    <w:p>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(2)未按规定由投标人的法定代表人或其授权代表签字，或未加盖投标人公章的；或签字人未经法定代表人有效授权委托的；</w:t>
      </w:r>
    </w:p>
    <w:p>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(3)未按规定提交投标保证金的；</w:t>
      </w:r>
    </w:p>
    <w:p>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(4)投标有效期不满足招标文件要求的；</w:t>
      </w:r>
    </w:p>
    <w:p>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(5)投标内容与招标内容及要求有重大偏离或保留的；</w:t>
      </w:r>
    </w:p>
    <w:p>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(6)一个投标人不止投一个标；</w:t>
      </w:r>
    </w:p>
    <w:p>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(7)投标文件组成不符合招标文件要求的；</w:t>
      </w:r>
    </w:p>
    <w:p>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(8)投标文件中提供虚假或失实资料的；</w:t>
      </w:r>
    </w:p>
    <w:p>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(9)未按规定的格式填写，内容不全或关键字迹模糊、无法辨认的；</w:t>
      </w:r>
    </w:p>
    <w:p>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(10)未按规定提交招标代理服务费承诺书的；</w:t>
      </w:r>
    </w:p>
    <w:p>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(11)未按规定采取分包、转包方式履行合同的；</w:t>
      </w:r>
    </w:p>
    <w:p>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(12)投标文件内容不符合招标文件中规定的</w:t>
      </w:r>
      <w:r>
        <w:rPr>
          <w:rFonts w:hint="eastAsia" w:ascii="宋体" w:hAnsi="宋体" w:eastAsia="宋体" w:cs="宋体"/>
          <w:color w:val="auto"/>
          <w:sz w:val="24"/>
          <w:szCs w:val="24"/>
          <w:highlight w:val="none"/>
        </w:rPr>
        <w:t>其它</w:t>
      </w:r>
      <w:r>
        <w:rPr>
          <w:rFonts w:hint="eastAsia" w:ascii="宋体" w:hAnsi="宋体" w:eastAsia="宋体" w:cs="宋体"/>
          <w:color w:val="auto"/>
          <w:sz w:val="24"/>
          <w:szCs w:val="24"/>
          <w:highlight w:val="none"/>
        </w:rPr>
        <w:t>实质性条款。</w:t>
      </w:r>
    </w:p>
    <w:p>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注：评标委员会对技术商务部分资格性审查、符合性审查及判定投标的响应性只根据投标文件技术商务部分本身的内容，而不寻求其他的外部证据。</w:t>
      </w:r>
    </w:p>
    <w:p>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a2.报价部分符合性检查</w:t>
      </w:r>
    </w:p>
    <w:p>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招标文件的规定，评标委员会还将从投标文件的有效性、完整性和对招标文件的响应程度进行审查，以确定是否符合对招标文件的实质性要求做出响应。实质性偏离是指：(1)实质性影响合同的范围、质量和履行；(2)实质性违背招标文件，限制了采购人的权利和</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合同项下的义务；(3)不公正地影响了</w:t>
      </w:r>
      <w:r>
        <w:rPr>
          <w:rFonts w:hint="eastAsia" w:ascii="宋体" w:hAnsi="宋体" w:eastAsia="宋体" w:cs="宋体"/>
          <w:color w:val="auto"/>
          <w:sz w:val="24"/>
          <w:szCs w:val="24"/>
          <w:highlight w:val="none"/>
        </w:rPr>
        <w:t>其它</w:t>
      </w:r>
      <w:r>
        <w:rPr>
          <w:rFonts w:hint="eastAsia" w:ascii="宋体" w:hAnsi="宋体" w:eastAsia="宋体" w:cs="宋体"/>
          <w:color w:val="auto"/>
          <w:sz w:val="24"/>
          <w:szCs w:val="24"/>
          <w:highlight w:val="none"/>
        </w:rPr>
        <w:t>做出实质性响应的投标人的竞争地位。对没有实质性响应的投标文件将不进行评估，其投标将被拒绝。凡有下列情况之一者，投标文件也将被视为未实质性响应招标文件要求，按照无效投标处理：</w:t>
      </w:r>
    </w:p>
    <w:p>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(1)投标文件未按规定进行编制、胶装、密封、标记的；</w:t>
      </w:r>
    </w:p>
    <w:p>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(2)未按规定由投标人的法定代表人或其授权代表签字，或未加盖投标人公章的；或签字人未经法定代表人有效授权委托的；</w:t>
      </w:r>
    </w:p>
    <w:p>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(3)投标人提交的是可选择的报价；</w:t>
      </w:r>
    </w:p>
    <w:p>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(4)投标人未按规定对投标进行分项报价；</w:t>
      </w:r>
    </w:p>
    <w:p>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(5)一个投标人不止投一个标；</w:t>
      </w:r>
    </w:p>
    <w:p>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(6)投标文件组成不符合招标文件要求的；</w:t>
      </w:r>
    </w:p>
    <w:p>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(7)投标文件中提供虚假或失实资料的；</w:t>
      </w:r>
    </w:p>
    <w:p>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(8)未按规定的格式填写，内容不全或关键字迹模糊、无法辨认的；</w:t>
      </w:r>
    </w:p>
    <w:p>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(9)投标文件内容不符合招标文件中规定的</w:t>
      </w:r>
      <w:r>
        <w:rPr>
          <w:rFonts w:hint="eastAsia" w:ascii="宋体" w:hAnsi="宋体" w:eastAsia="宋体" w:cs="宋体"/>
          <w:color w:val="auto"/>
          <w:sz w:val="24"/>
          <w:szCs w:val="24"/>
          <w:highlight w:val="none"/>
        </w:rPr>
        <w:t>其它</w:t>
      </w:r>
      <w:r>
        <w:rPr>
          <w:rFonts w:hint="eastAsia" w:ascii="宋体" w:hAnsi="宋体" w:eastAsia="宋体" w:cs="宋体"/>
          <w:color w:val="auto"/>
          <w:sz w:val="24"/>
          <w:szCs w:val="24"/>
          <w:highlight w:val="none"/>
        </w:rPr>
        <w:t>实质性条款。</w:t>
      </w:r>
    </w:p>
    <w:p>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注：评</w:t>
      </w:r>
      <w:r>
        <w:rPr>
          <w:rFonts w:hint="eastAsia" w:ascii="宋体" w:hAnsi="宋体" w:eastAsia="宋体" w:cs="宋体"/>
          <w:color w:val="auto"/>
          <w:sz w:val="24"/>
          <w:szCs w:val="24"/>
          <w:highlight w:val="none"/>
        </w:rPr>
        <w:t>标委员会对报价部分符合性审查及判定投标的响应性只根据投标文件报价部分本身的内容，而不寻求其他的外部证据。</w:t>
      </w:r>
    </w:p>
    <w:p>
      <w:pPr>
        <w:pStyle w:val="12"/>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b.本项目规定的其他情形：</w:t>
      </w:r>
    </w:p>
    <w:p>
      <w:pPr>
        <w:pStyle w:val="12"/>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lang w:val="en-US" w:eastAsia="zh-CN"/>
        </w:rPr>
      </w:pPr>
      <w:r>
        <w:rPr>
          <w:rStyle w:val="16"/>
          <w:rFonts w:hint="eastAsia" w:ascii="宋体" w:hAnsi="宋体" w:eastAsia="宋体" w:cs="宋体"/>
          <w:color w:val="auto"/>
          <w:sz w:val="24"/>
          <w:szCs w:val="24"/>
          <w:highlight w:val="none"/>
        </w:rPr>
        <w:t>包1</w:t>
      </w:r>
      <w:r>
        <w:rPr>
          <w:rFonts w:hint="eastAsia" w:ascii="宋体" w:hAnsi="宋体" w:eastAsia="宋体" w:cs="宋体"/>
          <w:color w:val="auto"/>
          <w:sz w:val="24"/>
          <w:szCs w:val="24"/>
          <w:highlight w:val="none"/>
        </w:rPr>
        <w:t xml:space="preserve"> </w:t>
      </w:r>
    </w:p>
    <w:p>
      <w:pPr>
        <w:keepNext w:val="0"/>
        <w:keepLines w:val="0"/>
        <w:pageBreakBefore w:val="0"/>
        <w:widowControl/>
        <w:kinsoku/>
        <w:wordWrap/>
        <w:overflowPunct/>
        <w:topLinePunct w:val="0"/>
        <w:bidi w:val="0"/>
        <w:spacing w:beforeAutospacing="0" w:afterAutospacing="0" w:line="394"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技术符合性 </w:t>
      </w:r>
    </w:p>
    <w:tbl>
      <w:tblPr>
        <w:tblStyle w:val="14"/>
        <w:tblW w:w="50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blHeader/>
          <w:tblCellSpacing w:w="0" w:type="dxa"/>
          <w:jc w:val="center"/>
        </w:trPr>
        <w:tc>
          <w:tcPr>
            <w:tcW w:w="5000" w:type="pct"/>
            <w:noWrap w:val="0"/>
            <w:vAlign w:val="center"/>
          </w:tcPr>
          <w:p>
            <w:pPr>
              <w:keepNext w:val="0"/>
              <w:keepLines w:val="0"/>
              <w:pageBreakBefore w:val="0"/>
              <w:widowControl/>
              <w:kinsoku/>
              <w:wordWrap/>
              <w:overflowPunct/>
              <w:topLinePunct w:val="0"/>
              <w:bidi w:val="0"/>
              <w:spacing w:beforeAutospacing="0" w:afterAutospacing="0" w:line="394"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blCellSpacing w:w="0" w:type="dxa"/>
          <w:jc w:val="center"/>
        </w:trPr>
        <w:tc>
          <w:tcPr>
            <w:tcW w:w="5000" w:type="pct"/>
            <w:noWrap w:val="0"/>
            <w:vAlign w:val="center"/>
          </w:tcPr>
          <w:p>
            <w:pPr>
              <w:keepNext w:val="0"/>
              <w:keepLines w:val="0"/>
              <w:pageBreakBefore w:val="0"/>
              <w:widowControl/>
              <w:numPr>
                <w:ilvl w:val="0"/>
                <w:numId w:val="0"/>
              </w:numPr>
              <w:kinsoku/>
              <w:wordWrap/>
              <w:overflowPunct/>
              <w:topLinePunct w:val="0"/>
              <w:bidi w:val="0"/>
              <w:spacing w:beforeAutospacing="0" w:afterAutospacing="0" w:line="394" w:lineRule="exact"/>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 xml:space="preserve">投标人投标文件技术商务部分中出现报价部分的全部或部分的投标报价信息（或组成资料）的，按无效投标处理。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blCellSpacing w:w="0" w:type="dxa"/>
          <w:jc w:val="center"/>
        </w:trPr>
        <w:tc>
          <w:tcPr>
            <w:tcW w:w="5000" w:type="pct"/>
            <w:noWrap w:val="0"/>
            <w:vAlign w:val="center"/>
          </w:tcPr>
          <w:p>
            <w:pPr>
              <w:keepNext w:val="0"/>
              <w:keepLines w:val="0"/>
              <w:pageBreakBefore w:val="0"/>
              <w:widowControl/>
              <w:kinsoku/>
              <w:wordWrap/>
              <w:overflowPunct/>
              <w:topLinePunct w:val="0"/>
              <w:bidi w:val="0"/>
              <w:spacing w:beforeAutospacing="0" w:afterAutospacing="0" w:line="394" w:lineRule="exact"/>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2）技术和服务要求中对招标文件第五章以“★”标示的内容出现负偏离的，按无效投标处理。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blCellSpacing w:w="0" w:type="dxa"/>
          <w:jc w:val="center"/>
        </w:trPr>
        <w:tc>
          <w:tcPr>
            <w:tcW w:w="5000" w:type="pct"/>
            <w:noWrap w:val="0"/>
            <w:vAlign w:val="center"/>
          </w:tcPr>
          <w:p>
            <w:pPr>
              <w:keepNext w:val="0"/>
              <w:keepLines w:val="0"/>
              <w:pageBreakBefore w:val="0"/>
              <w:widowControl/>
              <w:kinsoku/>
              <w:wordWrap/>
              <w:overflowPunct/>
              <w:topLinePunct w:val="0"/>
              <w:bidi w:val="0"/>
              <w:spacing w:beforeAutospacing="0" w:afterAutospacing="0" w:line="394"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3）投标人技术部分的实际得分少于招标文件设定的技术部分总分的50%的，按无效投标处理。</w:t>
            </w:r>
          </w:p>
        </w:tc>
      </w:tr>
    </w:tbl>
    <w:p>
      <w:pPr>
        <w:keepNext w:val="0"/>
        <w:keepLines w:val="0"/>
        <w:pageBreakBefore w:val="0"/>
        <w:widowControl/>
        <w:kinsoku/>
        <w:wordWrap/>
        <w:overflowPunct/>
        <w:topLinePunct w:val="0"/>
        <w:bidi w:val="0"/>
        <w:spacing w:beforeAutospacing="0" w:afterAutospacing="0" w:line="394"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商务符合性 </w:t>
      </w:r>
    </w:p>
    <w:tbl>
      <w:tblPr>
        <w:tblStyle w:val="14"/>
        <w:tblW w:w="50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tblHeader/>
          <w:tblCellSpacing w:w="0" w:type="dxa"/>
          <w:jc w:val="center"/>
        </w:trPr>
        <w:tc>
          <w:tcPr>
            <w:tcW w:w="5000" w:type="pct"/>
            <w:noWrap w:val="0"/>
            <w:vAlign w:val="center"/>
          </w:tcPr>
          <w:p>
            <w:pPr>
              <w:keepNext w:val="0"/>
              <w:keepLines w:val="0"/>
              <w:pageBreakBefore w:val="0"/>
              <w:widowControl/>
              <w:kinsoku/>
              <w:wordWrap/>
              <w:overflowPunct/>
              <w:topLinePunct w:val="0"/>
              <w:bidi w:val="0"/>
              <w:spacing w:beforeAutospacing="0" w:afterAutospacing="0" w:line="394"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blCellSpacing w:w="0" w:type="dxa"/>
          <w:jc w:val="center"/>
        </w:trPr>
        <w:tc>
          <w:tcPr>
            <w:tcW w:w="5000" w:type="pct"/>
            <w:noWrap w:val="0"/>
            <w:vAlign w:val="center"/>
          </w:tcPr>
          <w:p>
            <w:pPr>
              <w:keepNext w:val="0"/>
              <w:keepLines w:val="0"/>
              <w:pageBreakBefore w:val="0"/>
              <w:widowControl/>
              <w:kinsoku/>
              <w:wordWrap/>
              <w:overflowPunct/>
              <w:topLinePunct w:val="0"/>
              <w:bidi w:val="0"/>
              <w:spacing w:beforeAutospacing="0" w:afterAutospacing="0" w:line="394" w:lineRule="exact"/>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 xml:space="preserve">1）投标人投标文件商务部分中出现报价部分的全部或部分的投标报价信息（或组成资料）的，按无效投标处理。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jc w:val="center"/>
        </w:trPr>
        <w:tc>
          <w:tcPr>
            <w:tcW w:w="5000" w:type="pct"/>
            <w:noWrap w:val="0"/>
            <w:vAlign w:val="center"/>
          </w:tcPr>
          <w:p>
            <w:pPr>
              <w:keepNext w:val="0"/>
              <w:keepLines w:val="0"/>
              <w:pageBreakBefore w:val="0"/>
              <w:widowControl/>
              <w:kinsoku/>
              <w:wordWrap/>
              <w:overflowPunct/>
              <w:topLinePunct w:val="0"/>
              <w:bidi w:val="0"/>
              <w:spacing w:beforeAutospacing="0" w:afterAutospacing="0" w:line="394"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2）投标人的商务条件响应表中对招标文件规定的商务条件出现负偏离的，按无效投标处理。</w:t>
            </w:r>
          </w:p>
        </w:tc>
      </w:tr>
    </w:tbl>
    <w:p>
      <w:pPr>
        <w:keepNext w:val="0"/>
        <w:keepLines w:val="0"/>
        <w:pageBreakBefore w:val="0"/>
        <w:widowControl/>
        <w:kinsoku/>
        <w:wordWrap/>
        <w:overflowPunct/>
        <w:topLinePunct w:val="0"/>
        <w:bidi w:val="0"/>
        <w:spacing w:beforeAutospacing="0" w:afterAutospacing="0" w:line="394"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4.3澄清有关问题</w:t>
      </w:r>
    </w:p>
    <w:p>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（1）对通过符合性审查的投标文件中含义不明确、同类问题表述不一致或有明显文字和计算错误的内容，评标委员会将以书面形式要求投标人作出必要的澄清、说明或补正。</w:t>
      </w:r>
    </w:p>
    <w:p>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（3）投标文件报价出现前后不一致的，除招标文件另有规定外，按照下列规定修正：</w:t>
      </w:r>
    </w:p>
    <w:p>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①开标一览表内容与投标文件中相应内容不一致的，以开标一览表为准；</w:t>
      </w:r>
    </w:p>
    <w:p>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②大写金额和小写金额不一致的，以大写金额为准；</w:t>
      </w:r>
    </w:p>
    <w:p>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③单价金额小数点或百分比有明显错位的，以开标一览表的总价为准，并修改单价；</w:t>
      </w:r>
    </w:p>
    <w:p>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④总价金额与按照单价汇总金额不一致的，以单价金额计算结果为准。</w:t>
      </w:r>
    </w:p>
    <w:p>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※同时出现两种以上不一致的，按照前款规定的顺序修正。修正后的报价应按照本章第4.3条第（1）、（2）款规定经投标人确认后产生约束力，投标人不确认的，其投标无效。</w:t>
      </w:r>
    </w:p>
    <w:p>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（4）关于细微偏差</w:t>
      </w:r>
    </w:p>
    <w:p>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②评标委员会将以书面形式要求存在细微偏差的投标人在评标委员会规定的时间内予以补正。若无法补正，则评标委员会将按照不利于投标人的内容进行认定。</w:t>
      </w:r>
    </w:p>
    <w:p>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（5）关于投标描述（即投标文件中描述的内容）</w:t>
      </w:r>
    </w:p>
    <w:p>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①投标描述前后不一致且不涉及证明材料的：按照本章第6.3条第（1）、（2）款规定执行。</w:t>
      </w:r>
    </w:p>
    <w:p>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②投标描述与证明材料不一致或多份证明材料之间不一致的：</w:t>
      </w:r>
    </w:p>
    <w:p>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a.评标委员会将要求投标人进行书面澄清，并按照不利于投标人的内容进行评标。</w:t>
      </w:r>
    </w:p>
    <w:p>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③若</w:t>
      </w:r>
      <w:r>
        <w:rPr>
          <w:rFonts w:hint="eastAsia" w:ascii="宋体" w:hAnsi="宋体" w:eastAsia="宋体" w:cs="宋体"/>
          <w:color w:val="auto"/>
          <w:kern w:val="0"/>
          <w:sz w:val="24"/>
          <w:szCs w:val="24"/>
          <w:highlight w:val="none"/>
          <w:lang w:eastAsia="zh-CN"/>
        </w:rPr>
        <w:t>中标供应商</w:t>
      </w:r>
      <w:r>
        <w:rPr>
          <w:rFonts w:hint="eastAsia" w:ascii="宋体" w:hAnsi="宋体" w:eastAsia="宋体" w:cs="宋体"/>
          <w:color w:val="auto"/>
          <w:kern w:val="0"/>
          <w:sz w:val="24"/>
          <w:szCs w:val="24"/>
          <w:highlight w:val="none"/>
        </w:rPr>
        <w:t>的投标描述存在前后不一致、与证明材料不一致或多份证明材料之间不一致情形之</w:t>
      </w:r>
      <w:r>
        <w:rPr>
          <w:rFonts w:hint="eastAsia" w:ascii="宋体" w:hAnsi="宋体" w:eastAsia="宋体" w:cs="宋体"/>
          <w:color w:val="auto"/>
          <w:kern w:val="0"/>
          <w:sz w:val="24"/>
          <w:szCs w:val="24"/>
          <w:highlight w:val="none"/>
        </w:rPr>
        <w:t>一</w:t>
      </w:r>
      <w:r>
        <w:rPr>
          <w:rFonts w:hint="eastAsia" w:ascii="宋体" w:hAnsi="宋体" w:eastAsia="宋体" w:cs="宋体"/>
          <w:color w:val="auto"/>
          <w:kern w:val="0"/>
          <w:sz w:val="24"/>
          <w:szCs w:val="24"/>
          <w:highlight w:val="none"/>
          <w:lang w:val="en-US" w:eastAsia="zh-CN"/>
        </w:rPr>
        <w:t>旦</w:t>
      </w:r>
      <w:r>
        <w:rPr>
          <w:rFonts w:hint="eastAsia" w:ascii="宋体" w:hAnsi="宋体" w:eastAsia="宋体" w:cs="宋体"/>
          <w:color w:val="auto"/>
          <w:kern w:val="0"/>
          <w:sz w:val="24"/>
          <w:szCs w:val="24"/>
          <w:highlight w:val="none"/>
        </w:rPr>
        <w:t>在评标中未能发现，则采购人将以投标描述或证明材料中有利于采购人的内容进行验收，</w:t>
      </w:r>
      <w:r>
        <w:rPr>
          <w:rFonts w:hint="eastAsia" w:ascii="宋体" w:hAnsi="宋体" w:eastAsia="宋体" w:cs="宋体"/>
          <w:color w:val="auto"/>
          <w:kern w:val="0"/>
          <w:sz w:val="24"/>
          <w:szCs w:val="24"/>
          <w:highlight w:val="none"/>
          <w:lang w:eastAsia="zh-CN"/>
        </w:rPr>
        <w:t>中标供应商</w:t>
      </w:r>
      <w:r>
        <w:rPr>
          <w:rFonts w:hint="eastAsia" w:ascii="宋体" w:hAnsi="宋体" w:eastAsia="宋体" w:cs="宋体"/>
          <w:color w:val="auto"/>
          <w:kern w:val="0"/>
          <w:sz w:val="24"/>
          <w:szCs w:val="24"/>
          <w:highlight w:val="none"/>
        </w:rPr>
        <w:t>应自行承担由此产生的风险及费用。</w:t>
      </w:r>
    </w:p>
    <w:p>
      <w:pPr>
        <w:keepNext w:val="0"/>
        <w:keepLines w:val="0"/>
        <w:pageBreakBefore w:val="0"/>
        <w:widowControl/>
        <w:kinsoku/>
        <w:wordWrap/>
        <w:overflowPunct/>
        <w:topLinePunct w:val="0"/>
        <w:bidi w:val="0"/>
        <w:spacing w:beforeAutospacing="0" w:afterAutospacing="0" w:line="394"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4.4比较与评价</w:t>
      </w:r>
    </w:p>
    <w:p>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（1）按照本章第5条载明的评标方法和标准，对符合性审查合格的投标文件进行比较与评价。</w:t>
      </w:r>
    </w:p>
    <w:p>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（2）关于相同品牌产品</w:t>
      </w:r>
      <w:r>
        <w:rPr>
          <w:rFonts w:hint="eastAsia" w:ascii="宋体" w:hAnsi="宋体" w:eastAsia="宋体" w:cs="宋体"/>
          <w:b/>
          <w:bCs/>
          <w:color w:val="auto"/>
          <w:kern w:val="0"/>
          <w:sz w:val="24"/>
          <w:szCs w:val="24"/>
          <w:highlight w:val="none"/>
        </w:rPr>
        <w:t>（政府采购服务类项目不适用本条款规定）</w:t>
      </w:r>
    </w:p>
    <w:p>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①采用最低评标价法的，提供相同品牌产品的不同投标人参加同一合同项下投标的，以其中通过资格审查、符合性审查且报价最低的参加评标；报价相同的，由评标委员会按照下列方式确定</w:t>
      </w:r>
      <w:r>
        <w:rPr>
          <w:rFonts w:hint="eastAsia" w:ascii="宋体" w:hAnsi="宋体" w:eastAsia="宋体" w:cs="宋体"/>
          <w:color w:val="auto"/>
          <w:kern w:val="0"/>
          <w:sz w:val="24"/>
          <w:szCs w:val="24"/>
          <w:highlight w:val="none"/>
        </w:rPr>
        <w:t>一个参加评标的投标人：</w:t>
      </w:r>
    </w:p>
    <w:p>
      <w:pPr>
        <w:pStyle w:val="12"/>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a.招标文件规定的方式：</w:t>
      </w:r>
      <w:r>
        <w:rPr>
          <w:rFonts w:hint="eastAsia" w:ascii="宋体" w:hAnsi="宋体" w:eastAsia="宋体" w:cs="宋体"/>
          <w:color w:val="auto"/>
          <w:sz w:val="24"/>
          <w:szCs w:val="24"/>
          <w:highlight w:val="none"/>
          <w:u w:val="single"/>
        </w:rPr>
        <w:t>按照技术指标优劣、服务要求响应优劣、资格条件高低、商务条件高低情况依序择优确定一个投标人获得</w:t>
      </w:r>
      <w:r>
        <w:rPr>
          <w:rFonts w:hint="eastAsia" w:ascii="宋体" w:hAnsi="宋体" w:eastAsia="宋体" w:cs="宋体"/>
          <w:color w:val="auto"/>
          <w:sz w:val="24"/>
          <w:szCs w:val="24"/>
          <w:highlight w:val="none"/>
          <w:u w:val="single"/>
          <w:lang w:eastAsia="zh-CN"/>
        </w:rPr>
        <w:t>中标供应商</w:t>
      </w:r>
      <w:r>
        <w:rPr>
          <w:rFonts w:hint="eastAsia" w:ascii="宋体" w:hAnsi="宋体" w:eastAsia="宋体" w:cs="宋体"/>
          <w:color w:val="auto"/>
          <w:sz w:val="24"/>
          <w:szCs w:val="24"/>
          <w:highlight w:val="none"/>
          <w:u w:val="single"/>
        </w:rPr>
        <w:t>推荐资格。其他同品牌投标人不作为中标候选人。如无法界定的采取随机抽取方式确定</w:t>
      </w:r>
      <w:r>
        <w:rPr>
          <w:rFonts w:hint="eastAsia" w:ascii="宋体" w:hAnsi="宋体" w:eastAsia="宋体" w:cs="宋体"/>
          <w:color w:val="auto"/>
          <w:sz w:val="24"/>
          <w:szCs w:val="24"/>
          <w:highlight w:val="none"/>
        </w:rPr>
        <w:t>。</w:t>
      </w:r>
    </w:p>
    <w:p>
      <w:pPr>
        <w:pStyle w:val="12"/>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b.招标文件未规定的，采取随机抽取方式确定，其他</w:t>
      </w:r>
      <w:r>
        <w:rPr>
          <w:rStyle w:val="16"/>
          <w:rFonts w:hint="eastAsia" w:ascii="宋体" w:hAnsi="宋体" w:eastAsia="宋体" w:cs="宋体"/>
          <w:color w:val="auto"/>
          <w:sz w:val="24"/>
          <w:szCs w:val="24"/>
          <w:highlight w:val="none"/>
        </w:rPr>
        <w:t>投标无效。</w:t>
      </w:r>
    </w:p>
    <w:p>
      <w:pPr>
        <w:pStyle w:val="12"/>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2"/>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a.招标文件规定的方式：</w:t>
      </w:r>
      <w:r>
        <w:rPr>
          <w:rFonts w:hint="eastAsia" w:ascii="宋体" w:hAnsi="宋体" w:eastAsia="宋体" w:cs="宋体"/>
          <w:color w:val="auto"/>
          <w:sz w:val="24"/>
          <w:szCs w:val="24"/>
          <w:highlight w:val="none"/>
          <w:u w:val="single"/>
        </w:rPr>
        <w:t xml:space="preserve"> 第一阶段进行技术商务部分的评标，开标一览表及报价部分投标文件在商务技术部分评分结束前先密封保管，采购人、采购代理机构不得将投标人的报价向评委公布。评标委员会按照政府采购法律法规及相关规定、招标文件规定的评标方法和标准，评出实质性响应招标文件技术商务要求的投标人，并计算出各投标人技术商务部分的得分（采用最低评标价法的除外）。</w:t>
      </w:r>
    </w:p>
    <w:p>
      <w:pPr>
        <w:pStyle w:val="12"/>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第二阶段进行价格部分评标,经第一阶段评选出的实质性响应招标文件技术商务要求的投标人进入第二阶段评标。评标委员会按招标文件规定的评标方法和标准，评出实质性响应招标文件报价要求的投标人，并在各项优惠政策加分或价格扣除基础上计算出各投标人价格部分的得分或经折扣后的报价。</w:t>
      </w:r>
    </w:p>
    <w:p>
      <w:pPr>
        <w:pStyle w:val="12"/>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汇总各合格投标供应商的综合得分（取小数点后的2位数），并按各合格投标供应商的综合得分由高到低顺序，推荐综合得分最高的为中标候选人。本项目只推荐一名中标候选人。若有相同的最高得分，则其中投标总价低的投标供应商将被排序在前；若有相同的最高得分且投标报价相同的，则按技术部分得分从高到低顺序进行排列，技术部分得分最高的投标供应商将被排序在前。</w:t>
      </w:r>
    </w:p>
    <w:p>
      <w:pPr>
        <w:pStyle w:val="12"/>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b.招标文件未规定的，采取随机抽取方式确定，其他同品牌投标人不作为中标候选人。</w:t>
      </w:r>
    </w:p>
    <w:p>
      <w:pPr>
        <w:pStyle w:val="12"/>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③非单一产品采购项目，多家投标人提供的核心产品品牌相同的，按照本章第</w:t>
      </w:r>
      <w:r>
        <w:rPr>
          <w:rFonts w:hint="eastAsia" w:ascii="宋体" w:hAnsi="宋体" w:eastAsia="宋体" w:cs="宋体"/>
          <w:color w:val="auto"/>
          <w:sz w:val="24"/>
          <w:szCs w:val="24"/>
          <w:highlight w:val="none"/>
          <w:lang w:val="en-US" w:eastAsia="zh-CN"/>
        </w:rPr>
        <w:t>4.4</w:t>
      </w:r>
      <w:r>
        <w:rPr>
          <w:rFonts w:hint="eastAsia" w:ascii="宋体" w:hAnsi="宋体" w:eastAsia="宋体" w:cs="宋体"/>
          <w:color w:val="auto"/>
          <w:sz w:val="24"/>
          <w:szCs w:val="24"/>
          <w:highlight w:val="none"/>
        </w:rPr>
        <w:t>条第（2）款第①、②规定处理。</w:t>
      </w:r>
    </w:p>
    <w:p>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（3）漏（缺）项</w:t>
      </w:r>
    </w:p>
    <w:p>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①招标文件中要求列入报价的费用（含配置、功能），漏（缺）项的报价视为已经包括在投标总价中。</w:t>
      </w:r>
    </w:p>
    <w:p>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②对多报项及赠送项的价格评标时不予核减，全部进入评标价评议。</w:t>
      </w:r>
    </w:p>
    <w:p>
      <w:pPr>
        <w:keepNext w:val="0"/>
        <w:keepLines w:val="0"/>
        <w:pageBreakBefore w:val="0"/>
        <w:widowControl/>
        <w:kinsoku/>
        <w:wordWrap/>
        <w:overflowPunct/>
        <w:topLinePunct w:val="0"/>
        <w:bidi w:val="0"/>
        <w:spacing w:beforeAutospacing="0" w:afterAutospacing="0" w:line="394"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4.5推荐中标候选人：详见本章第5.2条规定。</w:t>
      </w:r>
    </w:p>
    <w:p>
      <w:pPr>
        <w:keepNext w:val="0"/>
        <w:keepLines w:val="0"/>
        <w:pageBreakBefore w:val="0"/>
        <w:widowControl/>
        <w:kinsoku/>
        <w:wordWrap/>
        <w:overflowPunct/>
        <w:topLinePunct w:val="0"/>
        <w:bidi w:val="0"/>
        <w:spacing w:beforeAutospacing="0" w:afterAutospacing="0" w:line="394"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4.6编写评标报告</w:t>
      </w:r>
    </w:p>
    <w:p>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（1）评标报告由评标委员会负责编写。</w:t>
      </w:r>
    </w:p>
    <w:p>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（2）评标报告应包括下列内容：</w:t>
      </w:r>
    </w:p>
    <w:p>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①招标公告刊登的网站名称、开标日期和地点；</w:t>
      </w:r>
    </w:p>
    <w:p>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②投标人名单和评标委员会成员名单；</w:t>
      </w:r>
    </w:p>
    <w:p>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③评标方法和标准；</w:t>
      </w:r>
    </w:p>
    <w:p>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④开标记录和评标情况及说明，包括无效投标人名单及原因；</w:t>
      </w:r>
    </w:p>
    <w:p>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⑤评标结果，包括中标候选人名单或确定的</w:t>
      </w:r>
      <w:r>
        <w:rPr>
          <w:rFonts w:hint="eastAsia" w:ascii="宋体" w:hAnsi="宋体" w:eastAsia="宋体" w:cs="宋体"/>
          <w:color w:val="auto"/>
          <w:kern w:val="0"/>
          <w:sz w:val="24"/>
          <w:szCs w:val="24"/>
          <w:highlight w:val="none"/>
          <w:lang w:eastAsia="zh-CN"/>
        </w:rPr>
        <w:t>中标供应商</w:t>
      </w:r>
      <w:r>
        <w:rPr>
          <w:rFonts w:hint="eastAsia" w:ascii="宋体" w:hAnsi="宋体" w:eastAsia="宋体" w:cs="宋体"/>
          <w:color w:val="auto"/>
          <w:kern w:val="0"/>
          <w:sz w:val="24"/>
          <w:szCs w:val="24"/>
          <w:highlight w:val="none"/>
        </w:rPr>
        <w:t>；</w:t>
      </w:r>
    </w:p>
    <w:p>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⑥其他需要说明的情况，包括但不限于：评标过程中投标人的澄清、说明或补正，评委更换等。</w:t>
      </w:r>
    </w:p>
    <w:p>
      <w:pPr>
        <w:keepNext w:val="0"/>
        <w:keepLines w:val="0"/>
        <w:pageBreakBefore w:val="0"/>
        <w:widowControl/>
        <w:kinsoku/>
        <w:wordWrap/>
        <w:overflowPunct/>
        <w:topLinePunct w:val="0"/>
        <w:bidi w:val="0"/>
        <w:spacing w:beforeAutospacing="0" w:afterAutospacing="0" w:line="394"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Fonts w:hint="eastAsia" w:ascii="宋体" w:hAnsi="宋体" w:eastAsia="宋体" w:cs="宋体"/>
          <w:b/>
          <w:bCs/>
          <w:color w:val="auto"/>
          <w:kern w:val="0"/>
          <w:sz w:val="24"/>
          <w:szCs w:val="24"/>
          <w:highlight w:val="none"/>
        </w:rPr>
        <w:t>投标无效</w:t>
      </w:r>
      <w:r>
        <w:rPr>
          <w:rFonts w:hint="eastAsia" w:ascii="宋体" w:hAnsi="宋体" w:eastAsia="宋体" w:cs="宋体"/>
          <w:color w:val="auto"/>
          <w:kern w:val="0"/>
          <w:sz w:val="24"/>
          <w:szCs w:val="24"/>
          <w:highlight w:val="none"/>
        </w:rPr>
        <w:t>处理。</w:t>
      </w:r>
    </w:p>
    <w:p>
      <w:pPr>
        <w:keepNext w:val="0"/>
        <w:keepLines w:val="0"/>
        <w:pageBreakBefore w:val="0"/>
        <w:widowControl/>
        <w:kinsoku/>
        <w:wordWrap/>
        <w:overflowPunct/>
        <w:topLinePunct w:val="0"/>
        <w:bidi w:val="0"/>
        <w:spacing w:beforeAutospacing="0" w:afterAutospacing="0" w:line="394"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4.8评委对需要共同认定的事项存在争议的，应按照少数服从多数的原则进行认定。</w:t>
      </w:r>
      <w:r>
        <w:rPr>
          <w:rFonts w:hint="eastAsia" w:ascii="宋体" w:hAnsi="宋体" w:eastAsia="宋体" w:cs="宋体"/>
          <w:b/>
          <w:bCs/>
          <w:color w:val="auto"/>
          <w:kern w:val="0"/>
          <w:sz w:val="24"/>
          <w:szCs w:val="24"/>
          <w:highlight w:val="none"/>
        </w:rPr>
        <w:t>持不同意见的评委应在评标报告上签署不同意见及理由，否则视为同意评标报告。</w:t>
      </w:r>
    </w:p>
    <w:p>
      <w:pPr>
        <w:keepNext w:val="0"/>
        <w:keepLines w:val="0"/>
        <w:pageBreakBefore w:val="0"/>
        <w:widowControl/>
        <w:kinsoku/>
        <w:wordWrap/>
        <w:overflowPunct/>
        <w:topLinePunct w:val="0"/>
        <w:bidi w:val="0"/>
        <w:spacing w:beforeAutospacing="0" w:afterAutospacing="0" w:line="394"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4.9在评标过程中发现投标人有下列情形之一的，评标委员会应认定其</w:t>
      </w:r>
      <w:r>
        <w:rPr>
          <w:rFonts w:hint="eastAsia" w:ascii="宋体" w:hAnsi="宋体" w:eastAsia="宋体" w:cs="宋体"/>
          <w:b/>
          <w:bCs/>
          <w:color w:val="auto"/>
          <w:kern w:val="0"/>
          <w:sz w:val="24"/>
          <w:szCs w:val="24"/>
          <w:highlight w:val="none"/>
        </w:rPr>
        <w:t>投标无效</w:t>
      </w:r>
      <w:r>
        <w:rPr>
          <w:rFonts w:hint="eastAsia" w:ascii="宋体" w:hAnsi="宋体" w:eastAsia="宋体" w:cs="宋体"/>
          <w:color w:val="auto"/>
          <w:kern w:val="0"/>
          <w:sz w:val="24"/>
          <w:szCs w:val="24"/>
          <w:highlight w:val="none"/>
        </w:rPr>
        <w:t>，并书面报告本项目监督管理部门：</w:t>
      </w:r>
    </w:p>
    <w:p>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（1）恶意串通（包括但不限于招标文件第三章第9.7条规定情形）；</w:t>
      </w:r>
    </w:p>
    <w:p>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（2）妨碍其他投标人的竞争行为；</w:t>
      </w:r>
    </w:p>
    <w:p>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（3）损害采购人或其他投标人的合法权益。</w:t>
      </w:r>
    </w:p>
    <w:p>
      <w:pPr>
        <w:keepNext w:val="0"/>
        <w:keepLines w:val="0"/>
        <w:pageBreakBefore w:val="0"/>
        <w:widowControl/>
        <w:kinsoku/>
        <w:wordWrap/>
        <w:overflowPunct/>
        <w:topLinePunct w:val="0"/>
        <w:bidi w:val="0"/>
        <w:spacing w:beforeAutospacing="0" w:afterAutospacing="0" w:line="394"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4.10评标过程中，有下列情形之一的，应予废标：</w:t>
      </w:r>
    </w:p>
    <w:p>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（1）符合性审查合格的投标人不足三家的；</w:t>
      </w:r>
    </w:p>
    <w:p>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（2）有关法律、法规和规章规定废标的情形。</w:t>
      </w:r>
    </w:p>
    <w:p>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※若废标，则本次采购活动结束，</w:t>
      </w:r>
      <w:r>
        <w:rPr>
          <w:rFonts w:hint="eastAsia" w:ascii="宋体" w:hAnsi="宋体" w:eastAsia="宋体" w:cs="宋体"/>
          <w:color w:val="auto"/>
          <w:kern w:val="0"/>
          <w:sz w:val="24"/>
          <w:szCs w:val="24"/>
          <w:highlight w:val="none"/>
          <w:lang w:eastAsia="zh-CN"/>
        </w:rPr>
        <w:t>福建吉瑞招标代理有限公司</w:t>
      </w:r>
      <w:r>
        <w:rPr>
          <w:rFonts w:hint="eastAsia" w:ascii="宋体" w:hAnsi="宋体" w:eastAsia="宋体" w:cs="宋体"/>
          <w:b/>
          <w:bCs/>
          <w:color w:val="auto"/>
          <w:kern w:val="0"/>
          <w:sz w:val="24"/>
          <w:szCs w:val="24"/>
          <w:highlight w:val="none"/>
        </w:rPr>
        <w:t>将依法组织后续采购活动（包括但不限于：重新招标、采用其他方式采购等）。</w:t>
      </w:r>
    </w:p>
    <w:p>
      <w:pPr>
        <w:keepNext w:val="0"/>
        <w:keepLines w:val="0"/>
        <w:pageBreakBefore w:val="0"/>
        <w:widowControl/>
        <w:kinsoku/>
        <w:wordWrap/>
        <w:overflowPunct/>
        <w:topLinePunct w:val="0"/>
        <w:bidi w:val="0"/>
        <w:spacing w:beforeAutospacing="0" w:afterAutospacing="0" w:line="394" w:lineRule="exact"/>
        <w:ind w:firstLine="480" w:firstLineChars="20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5、评标方法和标准</w:t>
      </w:r>
    </w:p>
    <w:p>
      <w:pPr>
        <w:keepNext w:val="0"/>
        <w:keepLines w:val="0"/>
        <w:pageBreakBefore w:val="0"/>
        <w:kinsoku/>
        <w:wordWrap/>
        <w:overflowPunct/>
        <w:topLinePunct w:val="0"/>
        <w:bidi w:val="0"/>
        <w:spacing w:beforeAutospacing="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5.1评标方法：</w:t>
      </w:r>
      <w:r>
        <w:rPr>
          <w:rFonts w:hint="eastAsia" w:ascii="宋体" w:hAnsi="宋体" w:eastAsia="宋体" w:cs="宋体"/>
          <w:color w:val="auto"/>
          <w:sz w:val="24"/>
          <w:szCs w:val="24"/>
          <w:highlight w:val="none"/>
          <w:lang w:eastAsia="zh-CN"/>
        </w:rPr>
        <w:t>合同包1</w:t>
      </w:r>
      <w:r>
        <w:rPr>
          <w:rFonts w:hint="eastAsia" w:ascii="宋体" w:hAnsi="宋体" w:eastAsia="宋体" w:cs="宋体"/>
          <w:color w:val="auto"/>
          <w:sz w:val="24"/>
          <w:szCs w:val="24"/>
          <w:highlight w:val="none"/>
        </w:rPr>
        <w:t>采用综合评分法。</w:t>
      </w:r>
    </w:p>
    <w:p>
      <w:pPr>
        <w:pStyle w:val="12"/>
        <w:keepNext w:val="0"/>
        <w:keepLines w:val="0"/>
        <w:pageBreakBefore w:val="0"/>
        <w:kinsoku/>
        <w:wordWrap/>
        <w:overflowPunct/>
        <w:topLinePunct w:val="0"/>
        <w:bidi w:val="0"/>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5.2评标标准</w:t>
      </w:r>
    </w:p>
    <w:p>
      <w:pPr>
        <w:pStyle w:val="12"/>
        <w:keepNext w:val="0"/>
        <w:keepLines w:val="0"/>
        <w:pageBreakBefore w:val="0"/>
        <w:shd w:val="clear" w:color="auto" w:fill="FFFFFF"/>
        <w:kinsoku/>
        <w:wordWrap/>
        <w:overflowPunct/>
        <w:topLinePunct w:val="0"/>
        <w:bidi w:val="0"/>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本项目</w:t>
      </w:r>
      <w:r>
        <w:rPr>
          <w:rFonts w:hint="eastAsia" w:ascii="宋体" w:hAnsi="宋体" w:eastAsia="宋体" w:cs="宋体"/>
          <w:b/>
          <w:color w:val="auto"/>
          <w:sz w:val="24"/>
          <w:szCs w:val="24"/>
          <w:highlight w:val="none"/>
          <w:lang w:val="en-US" w:eastAsia="zh-CN"/>
        </w:rPr>
        <w:t>合同包1</w:t>
      </w:r>
      <w:r>
        <w:rPr>
          <w:rFonts w:hint="eastAsia" w:ascii="宋体" w:hAnsi="宋体" w:eastAsia="宋体" w:cs="宋体"/>
          <w:b/>
          <w:color w:val="auto"/>
          <w:sz w:val="24"/>
          <w:szCs w:val="24"/>
          <w:highlight w:val="none"/>
        </w:rPr>
        <w:t>采</w:t>
      </w:r>
      <w:r>
        <w:rPr>
          <w:rStyle w:val="16"/>
          <w:rFonts w:hint="eastAsia" w:ascii="宋体" w:hAnsi="宋体" w:eastAsia="宋体" w:cs="宋体"/>
          <w:color w:val="auto"/>
          <w:sz w:val="24"/>
          <w:szCs w:val="24"/>
          <w:highlight w:val="none"/>
          <w:shd w:val="clear" w:color="auto" w:fill="FFFFFF"/>
        </w:rPr>
        <w:t>用综合评分法</w:t>
      </w:r>
      <w:r>
        <w:rPr>
          <w:rFonts w:hint="eastAsia" w:ascii="宋体" w:hAnsi="宋体" w:eastAsia="宋体" w:cs="宋体"/>
          <w:color w:val="auto"/>
          <w:sz w:val="24"/>
          <w:szCs w:val="24"/>
          <w:highlight w:val="none"/>
          <w:shd w:val="clear" w:color="auto" w:fill="FFFFFF"/>
        </w:rPr>
        <w:t>：</w:t>
      </w:r>
    </w:p>
    <w:p>
      <w:pPr>
        <w:pStyle w:val="12"/>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（1）投标文件满足招标文件全部实质性要求，且按照评审因素的量化指标评审得分（即评标总得分）最高的投标人为中标候选人。</w:t>
      </w:r>
    </w:p>
    <w:p>
      <w:pPr>
        <w:pStyle w:val="12"/>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2"/>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（3）各项评审因素的设置如下：</w:t>
      </w:r>
    </w:p>
    <w:p>
      <w:pPr>
        <w:pStyle w:val="12"/>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①价格项（F1×A1）满分为</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分。</w:t>
      </w:r>
    </w:p>
    <w:p>
      <w:pPr>
        <w:pStyle w:val="12"/>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价格分采用低价优先法计算，即满足招标文件要求且投标价格最低的投标报价为评标基准价，其价格分为满分。其他投标人的价格分统一按照下列公式计算：投标报价得分=（评标基准价／投标报价）×价格权重×100。因落实政府采购政策需进行价格扣除的，以扣除后的价格计算评标基准价和投标报价。</w:t>
      </w:r>
    </w:p>
    <w:p>
      <w:pPr>
        <w:pStyle w:val="12"/>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b.价格扣除的规则如下：</w:t>
      </w:r>
    </w:p>
    <w:tbl>
      <w:tblPr>
        <w:tblStyle w:val="14"/>
        <w:tblW w:w="4994"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41"/>
        <w:gridCol w:w="1197"/>
        <w:gridCol w:w="762"/>
        <w:gridCol w:w="725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7" w:type="pct"/>
          </w:tcPr>
          <w:p>
            <w:pPr>
              <w:pStyle w:val="19"/>
              <w:keepNext w:val="0"/>
              <w:keepLines w:val="0"/>
              <w:pageBreakBefore w:val="0"/>
              <w:kinsoku/>
              <w:wordWrap/>
              <w:overflowPunct/>
              <w:topLinePunct w:val="0"/>
              <w:bidi w:val="0"/>
              <w:spacing w:beforeAutospacing="0" w:afterAutospacing="0" w:line="394"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595" w:type="pct"/>
          </w:tcPr>
          <w:p>
            <w:pPr>
              <w:pStyle w:val="19"/>
              <w:keepNext w:val="0"/>
              <w:keepLines w:val="0"/>
              <w:pageBreakBefore w:val="0"/>
              <w:kinsoku/>
              <w:wordWrap/>
              <w:overflowPunct/>
              <w:topLinePunct w:val="0"/>
              <w:bidi w:val="0"/>
              <w:spacing w:beforeAutospacing="0" w:afterAutospacing="0" w:line="394"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适用对象</w:t>
            </w:r>
          </w:p>
        </w:tc>
        <w:tc>
          <w:tcPr>
            <w:tcW w:w="378" w:type="pct"/>
          </w:tcPr>
          <w:p>
            <w:pPr>
              <w:pStyle w:val="19"/>
              <w:keepNext w:val="0"/>
              <w:keepLines w:val="0"/>
              <w:pageBreakBefore w:val="0"/>
              <w:kinsoku/>
              <w:wordWrap/>
              <w:overflowPunct/>
              <w:topLinePunct w:val="0"/>
              <w:bidi w:val="0"/>
              <w:spacing w:beforeAutospacing="0" w:afterAutospacing="0" w:line="394"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比例</w:t>
            </w:r>
          </w:p>
        </w:tc>
        <w:tc>
          <w:tcPr>
            <w:tcW w:w="3608" w:type="pct"/>
          </w:tcPr>
          <w:p>
            <w:pPr>
              <w:pStyle w:val="19"/>
              <w:keepNext w:val="0"/>
              <w:keepLines w:val="0"/>
              <w:pageBreakBefore w:val="0"/>
              <w:kinsoku/>
              <w:wordWrap/>
              <w:overflowPunct/>
              <w:topLinePunct w:val="0"/>
              <w:bidi w:val="0"/>
              <w:spacing w:beforeAutospacing="0" w:afterAutospacing="0" w:line="394"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7" w:type="pct"/>
          </w:tcPr>
          <w:p>
            <w:pPr>
              <w:pStyle w:val="19"/>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小型、微型企业，监狱企业，残疾人福利性单位</w:t>
            </w:r>
          </w:p>
        </w:tc>
        <w:tc>
          <w:tcPr>
            <w:tcW w:w="595" w:type="pct"/>
          </w:tcPr>
          <w:p>
            <w:pPr>
              <w:pStyle w:val="19"/>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投标人或者联合体均为小型、微型企业</w:t>
            </w:r>
          </w:p>
        </w:tc>
        <w:tc>
          <w:tcPr>
            <w:tcW w:w="378" w:type="pct"/>
          </w:tcPr>
          <w:p>
            <w:pPr>
              <w:pStyle w:val="19"/>
              <w:keepNext w:val="0"/>
              <w:keepLines w:val="0"/>
              <w:pageBreakBefore w:val="0"/>
              <w:kinsoku/>
              <w:wordWrap/>
              <w:overflowPunct/>
              <w:topLinePunct w:val="0"/>
              <w:bidi w:val="0"/>
              <w:spacing w:beforeAutospacing="0" w:afterAutospacing="0" w:line="394"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15.0000%</w:t>
            </w:r>
          </w:p>
        </w:tc>
        <w:tc>
          <w:tcPr>
            <w:tcW w:w="3608" w:type="pct"/>
          </w:tcPr>
          <w:p>
            <w:pPr>
              <w:pStyle w:val="19"/>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本项目为未预留份额专门面向中小企业采购的货物类采购项目，本采购标的对应的中小企业划分标准所属行业为工业。本项目执行的政府采购优惠政策如下： （一）《政府采购促进中小企业发展管理办法》（财库〔2020〕46号）文中规定的价格扣除：在非专门面向中小企业的采购项目中，对符合该管理办法规定的小微企业报价给予相应的价格扣除（货物、服务类项目按</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%扣除，工程项目按3% 扣除），用扣除后的价格参加评审。1、在货物采购项目中，货物应当由中小企业制造，不对其中涉及的服务的承接商作出要求；在工程采购项目中，工程应当由中小企业承建，不对其中涉及的货物的制造商和服务的承接商作出要求；在服务采购项目中，服务的承接商应当为中小企业，不对其中涉及的货物的制造商作出要求。2、大型企业提供的所有采购标的均为小微企业制造的，可享受价格扣除；如果一个采购项目或采购包含有多个采购标的的，则每个采购标的均应由中小企业制造，否则不予价格扣除。3、参加政府采购活动的中小企业应当提供《中小企业声明函》(见本文件最后章节格式)；若</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提供的《中小企业声明函》中填写的行业与招标文件中明确的采购标的对应的中小企业划分标准所属行业不一致，则不予认定为中小企业。（二）监狱企业优惠政策：根据财库【2014】68号文《关于政府采购支持监狱企业发展有关问题的通知》的规定，在政府采购活动中，监狱企业视同小型、微型企业，享受预留份额、评审中价格扣除等政府采购促进中小企业发展的政府采购政策。 监狱企业参加政府采购活动时，应当提供由省级以上监狱管理局、戒毒管理局(含新疆生产建设兵团)出具的属于监狱企业的证明文件，否则不予价格扣除。监狱企业属于小型、微型企业的，不重复享受政策。（三）残疾人福利性单位优惠政策：根据财库〔2017〕141号文《关于促进残疾人就业政府采购政策的通知》的规定，在政府采购活动中，残疾人福利性单位视同小型、微型企业，享受预留份额、评审中价格扣除等促进中小企业发展的政府采购政策。对于非专门面向中小企业的项目，对残疾人福利性单位产品价格给予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%的扣除；对残疾人福利性单位与其他组织组成联合体参与政府采购活动的，残疾人福利性单位的协议合同金额占总合同金额30%以上的，给予联合体合同金额</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%的价格扣除。残疾人福利性单位参加政府采购活动时，应当提供《残疾人福利性单位声明函》并加单位公章(见本文件最后章节格式)。 残疾人福利性单位属于小型、微型企业的，不重复享受政策。 说明：采购代理机构将在中标、成交结果公告同时公告</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提交的《中小企业声明函》或《残疾人福利性单位声明函》，接受社会监督。供应商应当对其出具的声明函的真实性负责，如内容不实的，属于提供虚假材料谋取中标、成交，其中标、成交无效，并依照《政府采购法》第七十七条第一款的规定追究法律责任。 在实际操作中，供应商希望获得《办法》规定政策支持的，应从制造商处获得充分、准确的信息。对相关制造商信息了解不充分，或者不能确定相关信息真实、准确的，不建议出具《中小企业声明函》</w:t>
            </w:r>
            <w:r>
              <w:rPr>
                <w:rFonts w:hint="eastAsia" w:ascii="宋体" w:hAnsi="宋体" w:eastAsia="宋体" w:cs="宋体"/>
                <w:color w:val="auto"/>
                <w:sz w:val="24"/>
                <w:szCs w:val="24"/>
                <w:highlight w:val="none"/>
                <w:lang w:eastAsia="zh-CN"/>
              </w:rPr>
              <w:t>。</w:t>
            </w:r>
          </w:p>
        </w:tc>
      </w:tr>
    </w:tbl>
    <w:p>
      <w:pPr>
        <w:pStyle w:val="19"/>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优先类节能产品、环境标志产品的价格扣除规则如下</w:t>
      </w:r>
    </w:p>
    <w:tbl>
      <w:tblPr>
        <w:tblStyle w:val="14"/>
        <w:tblW w:w="4991"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4"/>
        <w:gridCol w:w="1077"/>
        <w:gridCol w:w="801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79" w:type="pct"/>
          </w:tcPr>
          <w:p>
            <w:pPr>
              <w:pStyle w:val="19"/>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w:t>
            </w:r>
          </w:p>
        </w:tc>
        <w:tc>
          <w:tcPr>
            <w:tcW w:w="535" w:type="pct"/>
          </w:tcPr>
          <w:p>
            <w:pPr>
              <w:pStyle w:val="19"/>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比例</w:t>
            </w:r>
          </w:p>
        </w:tc>
        <w:tc>
          <w:tcPr>
            <w:tcW w:w="3985" w:type="pct"/>
          </w:tcPr>
          <w:p>
            <w:pPr>
              <w:pStyle w:val="19"/>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79" w:type="pct"/>
          </w:tcPr>
          <w:p>
            <w:pPr>
              <w:pStyle w:val="19"/>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节能、环境标志产品</w:t>
            </w:r>
          </w:p>
        </w:tc>
        <w:tc>
          <w:tcPr>
            <w:tcW w:w="535" w:type="pct"/>
          </w:tcPr>
          <w:p>
            <w:pPr>
              <w:pStyle w:val="19"/>
              <w:keepNext w:val="0"/>
              <w:keepLines w:val="0"/>
              <w:pageBreakBefore w:val="0"/>
              <w:kinsoku/>
              <w:wordWrap/>
              <w:overflowPunct/>
              <w:topLinePunct w:val="0"/>
              <w:bidi w:val="0"/>
              <w:spacing w:beforeAutospacing="0" w:afterAutospacing="0" w:line="394"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10.0000%</w:t>
            </w:r>
          </w:p>
        </w:tc>
        <w:tc>
          <w:tcPr>
            <w:tcW w:w="3985" w:type="pct"/>
          </w:tcPr>
          <w:p>
            <w:pPr>
              <w:pStyle w:val="19"/>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)根据《财政部发展改革委生态环境部市场监管总局关于调整优化节能产品、环境标志产品政府采购执行机制的通知》(财库〔2019〕9号)以及《关于印发节能产品政府采购品目清单的通知》(财库〔2019〕19 号)，节能产品政府采购品目清单中的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具体品目以“★”标注)，本次采购货物中属政府强制采购节能产品的，</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提供国家确定的认证机构出具的、处于有效期之内的节能产品认证证书复印件(若有附件，应至少提供附件中可体现所投产品页面的复印件)，认证证书中的产品标准须符合《节能产品政府采购品目清单》中对应品目的依据的标准，否则</w:t>
            </w:r>
            <w:r>
              <w:rPr>
                <w:rFonts w:hint="eastAsia" w:ascii="宋体" w:hAnsi="宋体" w:eastAsia="宋体" w:cs="宋体"/>
                <w:color w:val="auto"/>
                <w:sz w:val="24"/>
                <w:szCs w:val="24"/>
                <w:highlight w:val="none"/>
                <w:lang w:eastAsia="zh-CN"/>
              </w:rPr>
              <w:t>响应无效</w:t>
            </w:r>
            <w:r>
              <w:rPr>
                <w:rFonts w:hint="eastAsia" w:ascii="宋体" w:hAnsi="宋体" w:eastAsia="宋体" w:cs="宋体"/>
                <w:color w:val="auto"/>
                <w:sz w:val="24"/>
                <w:szCs w:val="24"/>
                <w:highlight w:val="none"/>
              </w:rPr>
              <w:t>。(2)根据《财政部发展改革委生态环境部市场监管总局关于调整优化节能产品、环境标志产品政府采购执行机制的通知》(财库〔2019]9 号)、《关于印发节能产品政府采购品目清单的通知》(财库[2019]19 号)及《关于印发环境标志产品政府采购品目清单的通知》(财库〔2019〕18 号)，对所投节能(非强制类产品)、环境标志产品实施政府优先采购，</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提供国家确定的认证机构出具的、处于有效期之内的节能产品、环境标准产品认证证书复印件(若有件，应至少提供附件中可体现所投产品页面的复印件)，认证证书中的产品标准须符合《节能产品政府采购品目清单》，清单中对应品目的依据的标准，否则不予优先采购。(3)根据《福建省财政厅关于加强政府绿色采购工作的通知》(闽财规〔2024〕3 号)规定，对节能产品、环境标志产品政府采购品目清单范围内实施优先采购的产品，给予产品价格报价按比例进行扣除，用扣除后的价格参加评审。采购标的同时包含其它非优先采购产品的，供应商应对优先采购产品和非优先采购产品进行分项报价，非优先采购产品的报价不得享受给予节能产品、环境标志产品的价格扣除优惠。供应商未对优先采购产品和非优先采购产品进行分项报价的，不享受价格扣除。若节能、环境标志产品仅是构成</w:t>
            </w:r>
            <w:r>
              <w:rPr>
                <w:rFonts w:hint="eastAsia" w:ascii="宋体" w:hAnsi="宋体" w:eastAsia="宋体" w:cs="宋体"/>
                <w:color w:val="auto"/>
                <w:sz w:val="24"/>
                <w:szCs w:val="24"/>
                <w:highlight w:val="none"/>
                <w:lang w:eastAsia="zh-CN"/>
              </w:rPr>
              <w:t>响应产品</w:t>
            </w:r>
            <w:r>
              <w:rPr>
                <w:rFonts w:hint="eastAsia" w:ascii="宋体" w:hAnsi="宋体" w:eastAsia="宋体" w:cs="宋体"/>
                <w:color w:val="auto"/>
                <w:sz w:val="24"/>
                <w:szCs w:val="24"/>
                <w:highlight w:val="none"/>
              </w:rPr>
              <w:t>的部件、组件或零件，则该</w:t>
            </w:r>
            <w:r>
              <w:rPr>
                <w:rFonts w:hint="eastAsia" w:ascii="宋体" w:hAnsi="宋体" w:eastAsia="宋体" w:cs="宋体"/>
                <w:color w:val="auto"/>
                <w:sz w:val="24"/>
                <w:szCs w:val="24"/>
                <w:highlight w:val="none"/>
                <w:lang w:eastAsia="zh-CN"/>
              </w:rPr>
              <w:t>响应产品</w:t>
            </w:r>
            <w:r>
              <w:rPr>
                <w:rFonts w:hint="eastAsia" w:ascii="宋体" w:hAnsi="宋体" w:eastAsia="宋体" w:cs="宋体"/>
                <w:color w:val="auto"/>
                <w:sz w:val="24"/>
                <w:szCs w:val="24"/>
                <w:highlight w:val="none"/>
              </w:rPr>
              <w:t>不享受鼓励优惠政策。后品目中各认证证书不重复进行价格扣除。强制类节能产品不享受价格扣除。</w:t>
            </w:r>
          </w:p>
        </w:tc>
      </w:tr>
    </w:tbl>
    <w:p>
      <w:pPr>
        <w:pStyle w:val="19"/>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其他：无</w:t>
      </w:r>
    </w:p>
    <w:p>
      <w:pPr>
        <w:pStyle w:val="12"/>
        <w:keepNext w:val="0"/>
        <w:keepLines w:val="0"/>
        <w:pageBreakBefore w:val="0"/>
        <w:kinsoku/>
        <w:wordWrap/>
        <w:overflowPunct/>
        <w:topLinePunct w:val="0"/>
        <w:bidi w:val="0"/>
        <w:spacing w:before="0" w:beforeLines="0" w:beforeAutospacing="0" w:after="0" w:afterLines="0" w:afterAutospacing="0" w:line="394"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②技术项（F2×A2）满分为</w:t>
      </w:r>
      <w:r>
        <w:rPr>
          <w:rFonts w:hint="eastAsia" w:ascii="宋体" w:hAnsi="宋体" w:eastAsia="宋体" w:cs="宋体"/>
          <w:color w:val="auto"/>
          <w:sz w:val="24"/>
          <w:szCs w:val="24"/>
          <w:highlight w:val="none"/>
          <w:u w:val="single"/>
          <w:lang w:val="en-US" w:eastAsia="zh-CN"/>
        </w:rPr>
        <w:t>60</w:t>
      </w:r>
      <w:r>
        <w:rPr>
          <w:rFonts w:hint="eastAsia" w:ascii="宋体" w:hAnsi="宋体" w:eastAsia="宋体" w:cs="宋体"/>
          <w:color w:val="auto"/>
          <w:sz w:val="24"/>
          <w:szCs w:val="24"/>
          <w:highlight w:val="none"/>
        </w:rPr>
        <w:t>分。</w:t>
      </w:r>
    </w:p>
    <w:tbl>
      <w:tblPr>
        <w:tblStyle w:val="14"/>
        <w:tblW w:w="5029"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196"/>
        <w:gridCol w:w="1082"/>
        <w:gridCol w:w="765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blHeader/>
        </w:trPr>
        <w:tc>
          <w:tcPr>
            <w:tcW w:w="602"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bidi w:val="0"/>
              <w:spacing w:beforeAutospacing="0" w:afterAutospacing="0" w:line="394"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项目</w:t>
            </w:r>
          </w:p>
        </w:tc>
        <w:tc>
          <w:tcPr>
            <w:tcW w:w="545"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bidi w:val="0"/>
              <w:spacing w:beforeAutospacing="0" w:afterAutospacing="0" w:line="394"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分值</w:t>
            </w:r>
          </w:p>
        </w:tc>
        <w:tc>
          <w:tcPr>
            <w:tcW w:w="3852"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bidi w:val="0"/>
              <w:spacing w:beforeAutospacing="0" w:afterAutospacing="0" w:line="394"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602" w:type="pct"/>
            <w:tcBorders>
              <w:top w:val="single" w:color="666666" w:sz="6" w:space="0"/>
              <w:left w:val="single" w:color="666666" w:sz="6" w:space="0"/>
              <w:right w:val="single" w:color="666666" w:sz="6" w:space="0"/>
            </w:tcBorders>
            <w:shd w:val="clear" w:color="auto" w:fill="FFFFFF"/>
            <w:noWrap w:val="0"/>
            <w:vAlign w:val="center"/>
          </w:tcPr>
          <w:p>
            <w:pPr>
              <w:keepNext w:val="0"/>
              <w:keepLines w:val="0"/>
              <w:pageBreakBefore w:val="0"/>
              <w:kinsoku/>
              <w:wordWrap/>
              <w:overflowPunct/>
              <w:topLinePunct w:val="0"/>
              <w:bidi w:val="0"/>
              <w:spacing w:beforeAutospacing="0" w:afterAutospacing="0" w:line="394"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1、技术响应情况</w:t>
            </w:r>
          </w:p>
        </w:tc>
        <w:tc>
          <w:tcPr>
            <w:tcW w:w="545"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kinsoku/>
              <w:wordWrap/>
              <w:overflowPunct/>
              <w:topLinePunct w:val="0"/>
              <w:bidi w:val="0"/>
              <w:spacing w:beforeAutospacing="0" w:afterAutospacing="0" w:line="394" w:lineRule="exact"/>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57.00</w:t>
            </w:r>
          </w:p>
        </w:tc>
        <w:tc>
          <w:tcPr>
            <w:tcW w:w="3852"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kinsoku/>
              <w:wordWrap/>
              <w:overflowPunct/>
              <w:topLinePunct w:val="0"/>
              <w:bidi w:val="0"/>
              <w:spacing w:beforeAutospacing="0" w:afterAutospacing="0" w:line="394" w:lineRule="exact"/>
              <w:ind w:left="0" w:leftChars="0"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根据投标人对招标文件“第五章 招标内容及要求”中“二、技术和服务要求”中各项要求响应情况进行评审；投标人响应文件对招标文件要求中招标内容及要求的逐项响应应答：带★标示的技术参数为不允许负偏离的实质性要求，若出现负偏离的情况，按无效投标处理。技术参数完全满足招标文件要求的得</w:t>
            </w:r>
            <w:r>
              <w:rPr>
                <w:rFonts w:hint="eastAsia" w:ascii="宋体" w:hAnsi="宋体" w:eastAsia="宋体" w:cs="宋体"/>
                <w:bCs/>
                <w:color w:val="auto"/>
                <w:sz w:val="24"/>
                <w:szCs w:val="24"/>
                <w:highlight w:val="none"/>
                <w:lang w:val="en-US" w:eastAsia="zh-CN"/>
              </w:rPr>
              <w:t>57</w:t>
            </w:r>
            <w:r>
              <w:rPr>
                <w:rFonts w:hint="eastAsia" w:ascii="宋体" w:hAnsi="宋体" w:eastAsia="宋体" w:cs="宋体"/>
                <w:bCs/>
                <w:color w:val="auto"/>
                <w:sz w:val="24"/>
                <w:szCs w:val="24"/>
                <w:highlight w:val="none"/>
              </w:rPr>
              <w:t>分；其中带▲标示为重要技术参数，▲号每负偏离一项扣</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分(按评审指标计，带▲技术参数共计</w:t>
            </w:r>
            <w:r>
              <w:rPr>
                <w:rFonts w:hint="eastAsia" w:ascii="宋体" w:hAnsi="宋体" w:eastAsia="宋体" w:cs="宋体"/>
                <w:bCs/>
                <w:color w:val="auto"/>
                <w:sz w:val="24"/>
                <w:szCs w:val="24"/>
                <w:highlight w:val="none"/>
                <w:lang w:val="en-US" w:eastAsia="zh-CN"/>
              </w:rPr>
              <w:t>15</w:t>
            </w:r>
            <w:r>
              <w:rPr>
                <w:rFonts w:hint="eastAsia" w:ascii="宋体" w:hAnsi="宋体" w:eastAsia="宋体" w:cs="宋体"/>
                <w:bCs/>
                <w:color w:val="auto"/>
                <w:sz w:val="24"/>
                <w:szCs w:val="24"/>
                <w:highlight w:val="none"/>
              </w:rPr>
              <w:t>项，带▲技术参数全部满足的得</w:t>
            </w:r>
            <w:r>
              <w:rPr>
                <w:rFonts w:hint="eastAsia" w:ascii="宋体" w:hAnsi="宋体" w:eastAsia="宋体" w:cs="宋体"/>
                <w:bCs/>
                <w:color w:val="auto"/>
                <w:sz w:val="24"/>
                <w:szCs w:val="24"/>
                <w:highlight w:val="none"/>
                <w:lang w:val="en-US" w:eastAsia="zh-CN"/>
              </w:rPr>
              <w:t>30</w:t>
            </w:r>
            <w:r>
              <w:rPr>
                <w:rFonts w:hint="eastAsia" w:ascii="宋体" w:hAnsi="宋体" w:eastAsia="宋体" w:cs="宋体"/>
                <w:bCs/>
                <w:color w:val="auto"/>
                <w:sz w:val="24"/>
                <w:szCs w:val="24"/>
                <w:highlight w:val="none"/>
              </w:rPr>
              <w:t>分）；其余未带▲标示或未带★标示的技术参数的每负偏离扣0.</w:t>
            </w:r>
            <w:r>
              <w:rPr>
                <w:rFonts w:hint="eastAsia" w:ascii="宋体" w:hAnsi="宋体" w:eastAsia="宋体" w:cs="宋体"/>
                <w:bCs/>
                <w:color w:val="auto"/>
                <w:sz w:val="24"/>
                <w:szCs w:val="24"/>
                <w:highlight w:val="none"/>
                <w:lang w:val="en-US" w:eastAsia="zh-CN"/>
              </w:rPr>
              <w:t>20</w:t>
            </w:r>
            <w:r>
              <w:rPr>
                <w:rFonts w:hint="eastAsia" w:ascii="宋体" w:hAnsi="宋体" w:eastAsia="宋体" w:cs="宋体"/>
                <w:bCs/>
                <w:color w:val="auto"/>
                <w:sz w:val="24"/>
                <w:szCs w:val="24"/>
                <w:highlight w:val="none"/>
              </w:rPr>
              <w:t>分((按评审指标计，未带▲标示或未带★标示的技术参数共计</w:t>
            </w:r>
            <w:r>
              <w:rPr>
                <w:rFonts w:hint="eastAsia" w:ascii="宋体" w:hAnsi="宋体" w:eastAsia="宋体" w:cs="宋体"/>
                <w:bCs/>
                <w:color w:val="auto"/>
                <w:sz w:val="24"/>
                <w:szCs w:val="24"/>
                <w:highlight w:val="none"/>
                <w:lang w:val="en-US" w:eastAsia="zh-CN"/>
              </w:rPr>
              <w:t>138</w:t>
            </w:r>
            <w:r>
              <w:rPr>
                <w:rFonts w:hint="eastAsia" w:ascii="宋体" w:hAnsi="宋体" w:eastAsia="宋体" w:cs="宋体"/>
                <w:bCs/>
                <w:color w:val="auto"/>
                <w:sz w:val="24"/>
                <w:szCs w:val="24"/>
                <w:highlight w:val="none"/>
              </w:rPr>
              <w:t>项，未带▲或未带★标示技术参数全部满足的得</w:t>
            </w:r>
            <w:r>
              <w:rPr>
                <w:rFonts w:hint="eastAsia" w:ascii="宋体" w:hAnsi="宋体" w:eastAsia="宋体" w:cs="宋体"/>
                <w:bCs/>
                <w:color w:val="auto"/>
                <w:sz w:val="24"/>
                <w:szCs w:val="24"/>
                <w:highlight w:val="none"/>
                <w:lang w:val="en-US" w:eastAsia="zh-CN"/>
              </w:rPr>
              <w:t>27</w:t>
            </w:r>
            <w:r>
              <w:rPr>
                <w:rFonts w:hint="eastAsia" w:ascii="宋体" w:hAnsi="宋体" w:eastAsia="宋体" w:cs="宋体"/>
                <w:bCs/>
                <w:color w:val="auto"/>
                <w:sz w:val="24"/>
                <w:szCs w:val="24"/>
                <w:highlight w:val="none"/>
              </w:rPr>
              <w:t>分），扣完为止，正偏离不加分。</w:t>
            </w:r>
          </w:p>
          <w:p>
            <w:pPr>
              <w:keepNext w:val="0"/>
              <w:keepLines w:val="0"/>
              <w:pageBreakBefore w:val="0"/>
              <w:kinsoku/>
              <w:wordWrap/>
              <w:overflowPunct/>
              <w:topLinePunct w:val="0"/>
              <w:bidi w:val="0"/>
              <w:spacing w:beforeAutospacing="0" w:afterAutospacing="0" w:line="394" w:lineRule="exact"/>
              <w:ind w:left="0" w:leftChars="0" w:right="0" w:rightChars="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注：①投标人必须根据该评审内容，对照招标文件的要求逐项进行应答，如实说明正、负偏离情况，否则，有可能做出不利于投标人的评判（负偏离）。②</w:t>
            </w:r>
            <w:r>
              <w:rPr>
                <w:rFonts w:hint="eastAsia" w:ascii="宋体" w:hAnsi="宋体" w:eastAsia="宋体" w:cs="宋体"/>
                <w:b w:val="0"/>
                <w:bCs w:val="0"/>
                <w:color w:val="auto"/>
                <w:sz w:val="24"/>
                <w:szCs w:val="24"/>
                <w:highlight w:val="none"/>
                <w:lang w:val="en-US" w:eastAsia="zh-CN"/>
              </w:rPr>
              <w:t>投标文件中《技术服务和商务偏离表》应答内容与投标人提供的佐证材料【如国家行政部门颁发的证书、检测报告、样品（样机，如有）、演示结果、产品彩页或Datasheet（技术白皮书）等（佐证材料相互不一致的，以此先后顺序判定，排序在前的优先认定）】不一致时，以投标人提供的佐证材料为判定依据</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满分</w:t>
            </w:r>
            <w:r>
              <w:rPr>
                <w:rFonts w:hint="eastAsia" w:ascii="宋体" w:hAnsi="宋体" w:eastAsia="宋体" w:cs="宋体"/>
                <w:bCs/>
                <w:color w:val="auto"/>
                <w:sz w:val="24"/>
                <w:szCs w:val="24"/>
                <w:highlight w:val="none"/>
                <w:lang w:val="en-US" w:eastAsia="zh-CN"/>
              </w:rPr>
              <w:t>57</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602" w:type="pct"/>
            <w:tcBorders>
              <w:left w:val="single" w:color="666666" w:sz="6" w:space="0"/>
              <w:right w:val="single" w:color="666666" w:sz="6" w:space="0"/>
            </w:tcBorders>
            <w:shd w:val="clear" w:color="auto" w:fill="FFFFFF"/>
            <w:noWrap w:val="0"/>
            <w:vAlign w:val="center"/>
          </w:tcPr>
          <w:p>
            <w:pPr>
              <w:keepNext w:val="0"/>
              <w:keepLines w:val="0"/>
              <w:pageBreakBefore w:val="0"/>
              <w:kinsoku/>
              <w:wordWrap/>
              <w:overflowPunct/>
              <w:topLinePunct w:val="0"/>
              <w:bidi w:val="0"/>
              <w:spacing w:beforeAutospacing="0" w:afterAutospacing="0" w:line="394"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、产品质量及供货保障</w:t>
            </w:r>
          </w:p>
        </w:tc>
        <w:tc>
          <w:tcPr>
            <w:tcW w:w="545"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kinsoku/>
              <w:wordWrap/>
              <w:overflowPunct/>
              <w:topLinePunct w:val="0"/>
              <w:bidi w:val="0"/>
              <w:spacing w:beforeAutospacing="0" w:afterAutospacing="0" w:line="394" w:lineRule="exact"/>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color w:val="auto"/>
                <w:kern w:val="2"/>
                <w:sz w:val="24"/>
                <w:szCs w:val="24"/>
                <w:highlight w:val="none"/>
                <w:lang w:val="en-US" w:eastAsia="zh-CN"/>
              </w:rPr>
              <w:t>3.00</w:t>
            </w:r>
          </w:p>
        </w:tc>
        <w:tc>
          <w:tcPr>
            <w:tcW w:w="3852"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kinsoku/>
              <w:wordWrap/>
              <w:overflowPunct/>
              <w:topLinePunct w:val="0"/>
              <w:bidi w:val="0"/>
              <w:spacing w:beforeAutospacing="0" w:afterAutospacing="0" w:line="394" w:lineRule="exact"/>
              <w:ind w:left="0" w:leftChars="0"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根据投标人</w:t>
            </w:r>
            <w:r>
              <w:rPr>
                <w:rFonts w:hint="eastAsia" w:ascii="宋体" w:hAnsi="宋体" w:eastAsia="宋体" w:cs="宋体"/>
                <w:bCs/>
                <w:color w:val="auto"/>
                <w:sz w:val="24"/>
                <w:szCs w:val="24"/>
                <w:highlight w:val="none"/>
                <w:lang w:val="en-US" w:eastAsia="zh-CN"/>
              </w:rPr>
              <w:t>针对</w:t>
            </w:r>
            <w:r>
              <w:rPr>
                <w:rFonts w:hint="eastAsia" w:ascii="宋体" w:hAnsi="宋体" w:eastAsia="宋体" w:cs="宋体"/>
                <w:bCs/>
                <w:color w:val="auto"/>
                <w:sz w:val="24"/>
                <w:szCs w:val="24"/>
                <w:highlight w:val="none"/>
              </w:rPr>
              <w:t>所投</w:t>
            </w:r>
            <w:r>
              <w:rPr>
                <w:rFonts w:hint="eastAsia" w:ascii="宋体" w:hAnsi="宋体" w:eastAsia="宋体" w:cs="宋体"/>
                <w:b w:val="0"/>
                <w:bCs/>
                <w:color w:val="auto"/>
                <w:sz w:val="24"/>
                <w:szCs w:val="24"/>
                <w:highlight w:val="none"/>
              </w:rPr>
              <w:t>产品质量及供货保障</w:t>
            </w:r>
            <w:r>
              <w:rPr>
                <w:rFonts w:hint="eastAsia" w:ascii="宋体" w:hAnsi="宋体" w:eastAsia="宋体" w:cs="宋体"/>
                <w:bCs/>
                <w:color w:val="auto"/>
                <w:sz w:val="24"/>
                <w:szCs w:val="24"/>
                <w:highlight w:val="none"/>
                <w:lang w:val="en-US" w:eastAsia="zh-CN"/>
              </w:rPr>
              <w:t>方案进行评分，方案包括：</w:t>
            </w:r>
            <w:r>
              <w:rPr>
                <w:rFonts w:hint="eastAsia" w:ascii="宋体" w:hAnsi="宋体" w:eastAsia="宋体" w:cs="宋体"/>
                <w:b w:val="0"/>
                <w:bCs/>
                <w:color w:val="auto"/>
                <w:spacing w:val="-12"/>
                <w:sz w:val="24"/>
                <w:szCs w:val="24"/>
                <w:highlight w:val="none"/>
              </w:rPr>
              <w:t>①</w:t>
            </w:r>
            <w:r>
              <w:rPr>
                <w:rFonts w:hint="eastAsia" w:ascii="宋体" w:hAnsi="宋体" w:eastAsia="宋体" w:cs="宋体"/>
                <w:b w:val="0"/>
                <w:bCs/>
                <w:color w:val="auto"/>
                <w:spacing w:val="-12"/>
                <w:sz w:val="24"/>
                <w:szCs w:val="24"/>
                <w:highlight w:val="none"/>
                <w:lang w:val="en-US" w:eastAsia="zh-CN"/>
              </w:rPr>
              <w:t>保证</w:t>
            </w:r>
            <w:r>
              <w:rPr>
                <w:rFonts w:hint="eastAsia" w:ascii="宋体" w:hAnsi="宋体" w:eastAsia="宋体" w:cs="宋体"/>
                <w:bCs/>
                <w:color w:val="auto"/>
                <w:sz w:val="24"/>
                <w:szCs w:val="24"/>
                <w:highlight w:val="none"/>
              </w:rPr>
              <w:t>供货渠道来源正规</w:t>
            </w:r>
            <w:r>
              <w:rPr>
                <w:rFonts w:hint="eastAsia" w:ascii="宋体" w:hAnsi="宋体" w:eastAsia="宋体" w:cs="宋体"/>
                <w:bCs/>
                <w:color w:val="auto"/>
                <w:sz w:val="24"/>
                <w:szCs w:val="24"/>
                <w:highlight w:val="none"/>
                <w:lang w:eastAsia="zh-CN"/>
              </w:rPr>
              <w:t>；</w:t>
            </w:r>
            <w:r>
              <w:rPr>
                <w:rFonts w:hint="eastAsia" w:ascii="宋体" w:hAnsi="宋体" w:eastAsia="宋体" w:cs="宋体"/>
                <w:b w:val="0"/>
                <w:bCs/>
                <w:color w:val="auto"/>
                <w:kern w:val="0"/>
                <w:sz w:val="24"/>
                <w:szCs w:val="24"/>
                <w:highlight w:val="none"/>
                <w:lang w:val="en-US" w:eastAsia="zh-CN" w:bidi="ar"/>
              </w:rPr>
              <w:t>②</w:t>
            </w:r>
            <w:r>
              <w:rPr>
                <w:rFonts w:hint="eastAsia" w:ascii="宋体" w:hAnsi="宋体" w:eastAsia="宋体" w:cs="宋体"/>
                <w:bCs/>
                <w:color w:val="auto"/>
                <w:sz w:val="24"/>
                <w:szCs w:val="24"/>
                <w:highlight w:val="none"/>
                <w:lang w:val="en-US" w:eastAsia="zh-CN"/>
              </w:rPr>
              <w:t>供货过程</w:t>
            </w:r>
            <w:r>
              <w:rPr>
                <w:rFonts w:hint="eastAsia" w:ascii="宋体" w:hAnsi="宋体" w:eastAsia="宋体" w:cs="宋体"/>
                <w:bCs/>
                <w:color w:val="auto"/>
                <w:sz w:val="24"/>
                <w:szCs w:val="24"/>
                <w:highlight w:val="none"/>
              </w:rPr>
              <w:t>能得到有效保障</w:t>
            </w:r>
            <w:r>
              <w:rPr>
                <w:rFonts w:hint="eastAsia" w:ascii="宋体" w:hAnsi="宋体" w:eastAsia="宋体" w:cs="宋体"/>
                <w:b w:val="0"/>
                <w:bCs/>
                <w:color w:val="auto"/>
                <w:kern w:val="0"/>
                <w:sz w:val="24"/>
                <w:szCs w:val="24"/>
                <w:highlight w:val="none"/>
                <w:lang w:val="en-US" w:eastAsia="zh-CN" w:bidi="ar"/>
              </w:rPr>
              <w:t>：针对不同情况下，提供供货应急预案及供货保障方案；③</w:t>
            </w:r>
            <w:r>
              <w:rPr>
                <w:rFonts w:hint="eastAsia" w:ascii="宋体" w:hAnsi="宋体" w:eastAsia="宋体" w:cs="宋体"/>
                <w:bCs/>
                <w:color w:val="auto"/>
                <w:sz w:val="24"/>
                <w:szCs w:val="24"/>
                <w:highlight w:val="none"/>
              </w:rPr>
              <w:t>提供的方案详细完整、内容清晰具体</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与本项目情况相符</w:t>
            </w:r>
            <w:r>
              <w:rPr>
                <w:rFonts w:hint="eastAsia" w:ascii="宋体" w:hAnsi="宋体" w:eastAsia="宋体" w:cs="宋体"/>
                <w:bCs/>
                <w:color w:val="auto"/>
                <w:sz w:val="24"/>
                <w:szCs w:val="24"/>
                <w:highlight w:val="none"/>
                <w:lang w:eastAsia="zh-CN"/>
              </w:rPr>
              <w:t>；</w:t>
            </w:r>
            <w:r>
              <w:rPr>
                <w:rFonts w:hint="eastAsia" w:ascii="宋体" w:hAnsi="宋体" w:cs="宋体"/>
                <w:b w:val="0"/>
                <w:bCs/>
                <w:color w:val="auto"/>
                <w:kern w:val="0"/>
                <w:sz w:val="24"/>
                <w:szCs w:val="24"/>
                <w:highlight w:val="none"/>
                <w:lang w:val="en-US" w:eastAsia="zh-CN" w:bidi="ar"/>
              </w:rPr>
              <w:t>满足以上三点的得3分，满足以上两点的得2分，满足以上一点的得1分，否则不得分。</w:t>
            </w:r>
            <w:r>
              <w:rPr>
                <w:rFonts w:hint="eastAsia" w:ascii="宋体" w:hAnsi="宋体" w:eastAsia="宋体" w:cs="宋体"/>
                <w:bCs/>
                <w:color w:val="auto"/>
                <w:kern w:val="2"/>
                <w:sz w:val="24"/>
                <w:szCs w:val="24"/>
                <w:highlight w:val="none"/>
                <w:lang w:eastAsia="zh-CN"/>
              </w:rPr>
              <w:t>（满</w:t>
            </w:r>
            <w:r>
              <w:rPr>
                <w:rFonts w:hint="eastAsia" w:ascii="宋体" w:hAnsi="宋体" w:eastAsia="宋体" w:cs="宋体"/>
                <w:bCs/>
                <w:color w:val="auto"/>
                <w:kern w:val="2"/>
                <w:sz w:val="24"/>
                <w:szCs w:val="24"/>
                <w:highlight w:val="none"/>
                <w:lang w:val="en-US" w:eastAsia="zh-CN"/>
              </w:rPr>
              <w:t>分3分</w:t>
            </w:r>
            <w:r>
              <w:rPr>
                <w:rFonts w:hint="eastAsia" w:ascii="宋体" w:hAnsi="宋体" w:eastAsia="宋体" w:cs="宋体"/>
                <w:bCs/>
                <w:color w:val="auto"/>
                <w:kern w:val="2"/>
                <w:sz w:val="24"/>
                <w:szCs w:val="24"/>
                <w:highlight w:val="none"/>
                <w:lang w:eastAsia="zh-CN"/>
              </w:rPr>
              <w:t>）</w:t>
            </w:r>
          </w:p>
        </w:tc>
      </w:tr>
    </w:tbl>
    <w:p>
      <w:pPr>
        <w:pStyle w:val="12"/>
        <w:keepNext w:val="0"/>
        <w:keepLines w:val="0"/>
        <w:pageBreakBefore w:val="0"/>
        <w:kinsoku/>
        <w:wordWrap/>
        <w:overflowPunct/>
        <w:topLinePunct w:val="0"/>
        <w:bidi w:val="0"/>
        <w:spacing w:before="0" w:beforeLines="0" w:beforeAutospacing="0" w:after="0" w:afterLines="0" w:afterAutospacing="0" w:line="394"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③商务项（F3×A3）满分为</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szCs w:val="24"/>
          <w:highlight w:val="none"/>
        </w:rPr>
        <w:t>分。</w:t>
      </w:r>
    </w:p>
    <w:tbl>
      <w:tblPr>
        <w:tblStyle w:val="14"/>
        <w:tblW w:w="5014" w:type="pct"/>
        <w:tblInd w:w="0" w:type="dxa"/>
        <w:tblLayout w:type="autofit"/>
        <w:tblCellMar>
          <w:top w:w="0" w:type="dxa"/>
          <w:left w:w="0" w:type="dxa"/>
          <w:bottom w:w="0" w:type="dxa"/>
          <w:right w:w="0" w:type="dxa"/>
        </w:tblCellMar>
      </w:tblPr>
      <w:tblGrid>
        <w:gridCol w:w="1157"/>
        <w:gridCol w:w="1127"/>
        <w:gridCol w:w="7615"/>
      </w:tblGrid>
      <w:tr>
        <w:trPr>
          <w:tblHeader/>
        </w:trPr>
        <w:tc>
          <w:tcPr>
            <w:tcW w:w="584" w:type="pct"/>
            <w:tcBorders>
              <w:top w:val="single" w:color="666666" w:sz="6" w:space="0"/>
              <w:left w:val="single" w:color="666666" w:sz="6" w:space="0"/>
              <w:bottom w:val="single" w:color="auto" w:sz="4" w:space="0"/>
              <w:right w:val="single" w:color="666666" w:sz="6" w:space="0"/>
            </w:tcBorders>
            <w:shd w:val="clear" w:color="auto" w:fill="FFFFFF"/>
            <w:noWrap w:val="0"/>
            <w:vAlign w:val="center"/>
          </w:tcPr>
          <w:p>
            <w:pPr>
              <w:keepNext w:val="0"/>
              <w:keepLines w:val="0"/>
              <w:pageBreakBefore w:val="0"/>
              <w:widowControl/>
              <w:kinsoku/>
              <w:wordWrap/>
              <w:overflowPunct/>
              <w:topLinePunct w:val="0"/>
              <w:bidi w:val="0"/>
              <w:spacing w:beforeAutospacing="0" w:afterAutospacing="0" w:line="394"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评标项目</w:t>
            </w:r>
          </w:p>
        </w:tc>
        <w:tc>
          <w:tcPr>
            <w:tcW w:w="569"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bidi w:val="0"/>
              <w:spacing w:beforeAutospacing="0" w:afterAutospacing="0" w:line="394"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评标分值</w:t>
            </w:r>
          </w:p>
        </w:tc>
        <w:tc>
          <w:tcPr>
            <w:tcW w:w="3845"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bidi w:val="0"/>
              <w:spacing w:beforeAutospacing="0" w:afterAutospacing="0" w:line="394"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评标方法描述</w:t>
            </w:r>
          </w:p>
        </w:tc>
      </w:tr>
      <w:tr>
        <w:tc>
          <w:tcPr>
            <w:tcW w:w="58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bidi w:val="0"/>
              <w:spacing w:beforeAutospacing="0" w:afterAutospacing="0" w:line="394"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1、技术培训方案</w:t>
            </w:r>
          </w:p>
        </w:tc>
        <w:tc>
          <w:tcPr>
            <w:tcW w:w="569" w:type="pct"/>
            <w:tcBorders>
              <w:top w:val="single" w:color="666666" w:sz="6" w:space="0"/>
              <w:left w:val="single" w:color="auto" w:sz="4"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bidi w:val="0"/>
              <w:spacing w:beforeAutospacing="0" w:afterAutospacing="0" w:line="394"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3.00</w:t>
            </w:r>
          </w:p>
        </w:tc>
        <w:tc>
          <w:tcPr>
            <w:tcW w:w="3845"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kinsoku/>
              <w:wordWrap/>
              <w:overflowPunct/>
              <w:topLinePunct w:val="0"/>
              <w:bidi w:val="0"/>
              <w:spacing w:beforeAutospacing="0" w:afterAutospacing="0" w:line="394" w:lineRule="exac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12"/>
                <w:sz w:val="24"/>
                <w:szCs w:val="24"/>
                <w:highlight w:val="none"/>
              </w:rPr>
              <w:t>根据各投标人提供的针对本项目制定的现场技术培训方案情况进行评分，现场技术培训方案包含：①培训计划；②培训范围；③实施及针对性措施；④保证培训成效的措施。现场技术培训方案包含上述全部内容且方案详细具体的得3分，现场技术培训方案包含上述全部内容但内容较简单的得2分，现场技术培训方案中仅包含部分上述内容的得1分，其余不得分，未提供的本项不得分。（满分</w:t>
            </w:r>
            <w:r>
              <w:rPr>
                <w:rFonts w:hint="eastAsia" w:ascii="宋体" w:hAnsi="宋体" w:eastAsia="宋体" w:cs="宋体"/>
                <w:b w:val="0"/>
                <w:bCs/>
                <w:color w:val="auto"/>
                <w:spacing w:val="-12"/>
                <w:sz w:val="24"/>
                <w:szCs w:val="24"/>
                <w:highlight w:val="none"/>
                <w:lang w:val="en-US" w:eastAsia="zh-CN"/>
              </w:rPr>
              <w:t>3</w:t>
            </w:r>
            <w:r>
              <w:rPr>
                <w:rFonts w:hint="eastAsia" w:ascii="宋体" w:hAnsi="宋体" w:eastAsia="宋体" w:cs="宋体"/>
                <w:b w:val="0"/>
                <w:bCs/>
                <w:color w:val="auto"/>
                <w:spacing w:val="-12"/>
                <w:sz w:val="24"/>
                <w:szCs w:val="24"/>
                <w:highlight w:val="none"/>
              </w:rPr>
              <w:t>分）</w:t>
            </w:r>
          </w:p>
        </w:tc>
      </w:tr>
      <w:tr>
        <w:trPr>
          <w:trHeight w:val="90" w:hRule="atLeast"/>
        </w:trPr>
        <w:tc>
          <w:tcPr>
            <w:tcW w:w="58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bidi w:val="0"/>
              <w:spacing w:beforeAutospacing="0" w:afterAutospacing="0" w:line="394" w:lineRule="exact"/>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rPr>
              <w:t>2、维护响应计划</w:t>
            </w:r>
          </w:p>
        </w:tc>
        <w:tc>
          <w:tcPr>
            <w:tcW w:w="569" w:type="pct"/>
            <w:tcBorders>
              <w:top w:val="single" w:color="666666" w:sz="6" w:space="0"/>
              <w:left w:val="single" w:color="auto" w:sz="4"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bidi w:val="0"/>
              <w:spacing w:beforeAutospacing="0" w:afterAutospacing="0" w:line="394"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2.00</w:t>
            </w:r>
          </w:p>
        </w:tc>
        <w:tc>
          <w:tcPr>
            <w:tcW w:w="3845"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kinsoku/>
              <w:wordWrap/>
              <w:overflowPunct/>
              <w:topLinePunct w:val="0"/>
              <w:bidi w:val="0"/>
              <w:snapToGrid w:val="0"/>
              <w:spacing w:beforeAutospacing="0" w:afterAutospacing="0" w:line="394" w:lineRule="exact"/>
              <w:textAlignment w:val="auto"/>
              <w:rPr>
                <w:rFonts w:hint="eastAsia" w:ascii="宋体" w:hAnsi="宋体" w:eastAsia="宋体" w:cs="宋体"/>
                <w:b w:val="0"/>
                <w:bCs/>
                <w:color w:val="auto"/>
                <w:spacing w:val="-12"/>
                <w:sz w:val="24"/>
                <w:szCs w:val="24"/>
                <w:highlight w:val="none"/>
              </w:rPr>
            </w:pPr>
            <w:r>
              <w:rPr>
                <w:rFonts w:hint="eastAsia" w:ascii="宋体" w:hAnsi="宋体" w:eastAsia="宋体" w:cs="宋体"/>
                <w:b w:val="0"/>
                <w:bCs/>
                <w:color w:val="auto"/>
                <w:sz w:val="24"/>
                <w:szCs w:val="24"/>
                <w:highlight w:val="none"/>
              </w:rPr>
              <w:t>维护响应计划详细，售后服务承诺优于招标要求，故障响应时间短，响应方式多样的得</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分；有提供维护响应计划，满足基本维护需要的1分；维护响应计划不能满足基本维护需要的</w:t>
            </w:r>
            <w:r>
              <w:rPr>
                <w:rFonts w:hint="eastAsia" w:ascii="宋体" w:hAnsi="宋体" w:eastAsia="宋体" w:cs="宋体"/>
                <w:b w:val="0"/>
                <w:bCs/>
                <w:color w:val="auto"/>
                <w:sz w:val="24"/>
                <w:szCs w:val="24"/>
                <w:highlight w:val="none"/>
                <w:lang w:eastAsia="zh-CN"/>
              </w:rPr>
              <w:t>不得分</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pacing w:val="-12"/>
                <w:sz w:val="24"/>
                <w:szCs w:val="24"/>
                <w:highlight w:val="none"/>
              </w:rPr>
              <w:t>（满分</w:t>
            </w:r>
            <w:r>
              <w:rPr>
                <w:rFonts w:hint="eastAsia" w:ascii="宋体" w:hAnsi="宋体" w:eastAsia="宋体" w:cs="宋体"/>
                <w:b w:val="0"/>
                <w:bCs/>
                <w:color w:val="auto"/>
                <w:spacing w:val="-12"/>
                <w:sz w:val="24"/>
                <w:szCs w:val="24"/>
                <w:highlight w:val="none"/>
                <w:lang w:val="en-US" w:eastAsia="zh-CN"/>
              </w:rPr>
              <w:t>2</w:t>
            </w:r>
            <w:r>
              <w:rPr>
                <w:rFonts w:hint="eastAsia" w:ascii="宋体" w:hAnsi="宋体" w:eastAsia="宋体" w:cs="宋体"/>
                <w:b w:val="0"/>
                <w:bCs/>
                <w:color w:val="auto"/>
                <w:spacing w:val="-12"/>
                <w:sz w:val="24"/>
                <w:szCs w:val="24"/>
                <w:highlight w:val="none"/>
              </w:rPr>
              <w:t>分）</w:t>
            </w:r>
          </w:p>
        </w:tc>
      </w:tr>
      <w:tr>
        <w:tc>
          <w:tcPr>
            <w:tcW w:w="584"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kinsoku/>
              <w:wordWrap/>
              <w:overflowPunct/>
              <w:topLinePunct w:val="0"/>
              <w:bidi w:val="0"/>
              <w:spacing w:beforeAutospacing="0" w:afterAutospacing="0" w:line="394"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、业绩情况</w:t>
            </w:r>
          </w:p>
        </w:tc>
        <w:tc>
          <w:tcPr>
            <w:tcW w:w="569"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bidi w:val="0"/>
              <w:spacing w:beforeAutospacing="0" w:afterAutospacing="0" w:line="394"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3.00</w:t>
            </w:r>
          </w:p>
        </w:tc>
        <w:tc>
          <w:tcPr>
            <w:tcW w:w="3845"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kinsoku/>
              <w:wordWrap/>
              <w:overflowPunct/>
              <w:topLinePunct w:val="0"/>
              <w:autoSpaceDE w:val="0"/>
              <w:autoSpaceDN w:val="0"/>
              <w:bidi w:val="0"/>
              <w:adjustRightInd w:val="0"/>
              <w:spacing w:beforeAutospacing="0" w:afterAutospacing="0" w:line="394" w:lineRule="exact"/>
              <w:ind w:left="0" w:leftChars="0" w:right="0" w:right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根据投标人提供2020年1月1日起至本项目投标截止时间止(日期以验收报告为准)同类产品项目业绩情况进行评分，每提供1份成功同类业绩的得1分，满分3分。</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投标人应如实提供该业绩项目的中标公告（提供相关网站中标公告的下载网页并注明网址）、中标通知书复印件、采购合同文本复印件，以及能够证明该业绩项目已经采购人验收合格的相关证明文件复印件（原件备查），缺一不可。评委会将保留要求投标人提供原件予以核查的权利。未提供相关证明文件复印件的不得分；评标过程中如发现填报不实，本项不得分。合同履行过程中发现本项有虚假者，取消其中标资格，并追究相应的法律责任和进行相应的赔偿。</w:t>
            </w:r>
            <w:r>
              <w:rPr>
                <w:rFonts w:hint="eastAsia" w:ascii="宋体" w:hAnsi="宋体" w:eastAsia="宋体" w:cs="宋体"/>
                <w:b w:val="0"/>
                <w:bCs/>
                <w:color w:val="auto"/>
                <w:sz w:val="24"/>
                <w:szCs w:val="24"/>
                <w:highlight w:val="none"/>
                <w:lang w:eastAsia="zh-CN"/>
              </w:rPr>
              <w:t>】</w:t>
            </w:r>
          </w:p>
        </w:tc>
      </w:tr>
      <w:tr>
        <w:trPr>
          <w:trHeight w:val="975" w:hRule="atLeast"/>
        </w:trPr>
        <w:tc>
          <w:tcPr>
            <w:tcW w:w="584"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bidi w:val="0"/>
              <w:spacing w:beforeAutospacing="0" w:afterAutospacing="0" w:line="394" w:lineRule="exact"/>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4、其他要求</w:t>
            </w:r>
          </w:p>
        </w:tc>
        <w:tc>
          <w:tcPr>
            <w:tcW w:w="569"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bidi w:val="0"/>
              <w:spacing w:beforeAutospacing="0" w:afterAutospacing="0" w:line="394" w:lineRule="exact"/>
              <w:ind w:left="0" w:leftChars="0" w:right="0" w:rightChars="0"/>
              <w:jc w:val="center"/>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2.00</w:t>
            </w:r>
          </w:p>
        </w:tc>
        <w:tc>
          <w:tcPr>
            <w:tcW w:w="3845"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kinsoku/>
              <w:wordWrap/>
              <w:overflowPunct/>
              <w:topLinePunct w:val="0"/>
              <w:autoSpaceDE w:val="0"/>
              <w:autoSpaceDN w:val="0"/>
              <w:bidi w:val="0"/>
              <w:adjustRightInd w:val="0"/>
              <w:spacing w:beforeAutospacing="0" w:afterAutospacing="0" w:line="394" w:lineRule="exact"/>
              <w:ind w:left="0" w:leftChars="0" w:right="0" w:right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val="0"/>
                <w:color w:val="auto"/>
                <w:kern w:val="2"/>
                <w:sz w:val="24"/>
                <w:szCs w:val="24"/>
                <w:highlight w:val="none"/>
              </w:rPr>
              <w:t>投标人</w:t>
            </w:r>
            <w:r>
              <w:rPr>
                <w:rFonts w:hint="eastAsia" w:ascii="宋体" w:hAnsi="宋体" w:eastAsia="宋体" w:cs="宋体"/>
                <w:b w:val="0"/>
                <w:bCs/>
                <w:color w:val="auto"/>
                <w:sz w:val="24"/>
                <w:szCs w:val="24"/>
                <w:highlight w:val="none"/>
              </w:rPr>
              <w:t>有参加本项目</w:t>
            </w:r>
            <w:r>
              <w:rPr>
                <w:rFonts w:hint="eastAsia" w:ascii="宋体" w:hAnsi="宋体" w:eastAsia="宋体" w:cs="宋体"/>
                <w:b w:val="0"/>
                <w:bCs/>
                <w:color w:val="auto"/>
                <w:sz w:val="24"/>
                <w:szCs w:val="24"/>
                <w:highlight w:val="none"/>
                <w:lang w:val="en-US" w:eastAsia="zh-CN"/>
              </w:rPr>
              <w:t>采购前市场调研活动</w:t>
            </w:r>
            <w:r>
              <w:rPr>
                <w:rFonts w:hint="eastAsia" w:ascii="宋体" w:hAnsi="宋体" w:eastAsia="宋体" w:cs="宋体"/>
                <w:b w:val="0"/>
                <w:bCs/>
                <w:color w:val="auto"/>
                <w:sz w:val="24"/>
                <w:szCs w:val="24"/>
                <w:highlight w:val="none"/>
              </w:rPr>
              <w:t>的得1分；所投产品与其参加本项目</w:t>
            </w:r>
            <w:r>
              <w:rPr>
                <w:rFonts w:hint="eastAsia" w:ascii="宋体" w:hAnsi="宋体" w:eastAsia="宋体" w:cs="宋体"/>
                <w:b w:val="0"/>
                <w:bCs/>
                <w:color w:val="auto"/>
                <w:sz w:val="24"/>
                <w:szCs w:val="24"/>
                <w:highlight w:val="none"/>
                <w:lang w:val="en-US" w:eastAsia="zh-CN"/>
              </w:rPr>
              <w:t>采购前市场调研活动</w:t>
            </w:r>
            <w:r>
              <w:rPr>
                <w:rFonts w:hint="eastAsia" w:ascii="宋体" w:hAnsi="宋体" w:eastAsia="宋体" w:cs="宋体"/>
                <w:b w:val="0"/>
                <w:bCs/>
                <w:color w:val="auto"/>
                <w:sz w:val="24"/>
                <w:szCs w:val="24"/>
                <w:highlight w:val="none"/>
              </w:rPr>
              <w:t>所</w:t>
            </w:r>
            <w:r>
              <w:rPr>
                <w:rFonts w:hint="eastAsia" w:ascii="宋体" w:hAnsi="宋体" w:eastAsia="宋体" w:cs="宋体"/>
                <w:b w:val="0"/>
                <w:bCs/>
                <w:color w:val="auto"/>
                <w:sz w:val="24"/>
                <w:szCs w:val="24"/>
                <w:highlight w:val="none"/>
                <w:lang w:val="en-US" w:eastAsia="zh-CN"/>
              </w:rPr>
              <w:t>递交</w:t>
            </w:r>
            <w:r>
              <w:rPr>
                <w:rFonts w:hint="eastAsia" w:ascii="宋体" w:hAnsi="宋体" w:eastAsia="宋体" w:cs="宋体"/>
                <w:b w:val="0"/>
                <w:bCs/>
                <w:color w:val="auto"/>
                <w:sz w:val="24"/>
                <w:szCs w:val="24"/>
                <w:highlight w:val="none"/>
              </w:rPr>
              <w:t>产品一致的得1分。（满分</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分）</w:t>
            </w:r>
          </w:p>
        </w:tc>
      </w:tr>
    </w:tbl>
    <w:p>
      <w:pPr>
        <w:pStyle w:val="19"/>
        <w:keepNext w:val="0"/>
        <w:keepLines w:val="0"/>
        <w:pageBreakBefore w:val="0"/>
        <w:kinsoku/>
        <w:wordWrap/>
        <w:overflowPunct/>
        <w:topLinePunct w:val="0"/>
        <w:bidi w:val="0"/>
        <w:spacing w:beforeAutospacing="0" w:afterAutospacing="0" w:line="394"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※除本章第</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.3条第（3）款规定情形和落实政府采购政策需进行的价格扣除情形外，不能对投标人的投标报价进行任何调整。</w:t>
      </w:r>
    </w:p>
    <w:p>
      <w:pPr>
        <w:pStyle w:val="12"/>
        <w:keepNext w:val="0"/>
        <w:keepLines w:val="0"/>
        <w:pageBreakBefore w:val="0"/>
        <w:kinsoku/>
        <w:wordWrap/>
        <w:overflowPunct/>
        <w:topLinePunct w:val="0"/>
        <w:bidi w:val="0"/>
        <w:spacing w:before="0" w:beforeLines="0" w:beforeAutospacing="0" w:after="0" w:afterLines="0" w:afterAutospacing="0" w:line="394"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（4）中标候选人排列规则顺序如下：</w:t>
      </w:r>
    </w:p>
    <w:p>
      <w:pPr>
        <w:pStyle w:val="12"/>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a.按照评标总得分（FA）由高到低顺序排列。</w:t>
      </w:r>
    </w:p>
    <w:p>
      <w:pPr>
        <w:pStyle w:val="12"/>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b.评标总得分（FA）相同的，按照评标价（即价格扣除后的投标报价）由低到高顺序排列。</w:t>
      </w:r>
    </w:p>
    <w:p>
      <w:pPr>
        <w:pStyle w:val="12"/>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c.评标总得分（FA）且评标价（即价格扣除后的投标报价）相同的并列。</w:t>
      </w:r>
    </w:p>
    <w:p>
      <w:pPr>
        <w:pStyle w:val="12"/>
        <w:keepNext w:val="0"/>
        <w:keepLines w:val="0"/>
        <w:pageBreakBefore w:val="0"/>
        <w:kinsoku/>
        <w:wordWrap/>
        <w:overflowPunct/>
        <w:topLinePunct w:val="0"/>
        <w:bidi w:val="0"/>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、其他规定</w:t>
      </w:r>
    </w:p>
    <w:p>
      <w:pPr>
        <w:pStyle w:val="12"/>
        <w:keepNext w:val="0"/>
        <w:keepLines w:val="0"/>
        <w:pageBreakBefore w:val="0"/>
        <w:kinsoku/>
        <w:wordWrap/>
        <w:overflowPunct/>
        <w:topLinePunct w:val="0"/>
        <w:bidi w:val="0"/>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.1评标应全程保密且不得透露给任一投标人或与评标工作无关的人员。</w:t>
      </w:r>
    </w:p>
    <w:p>
      <w:pPr>
        <w:pStyle w:val="12"/>
        <w:keepNext w:val="0"/>
        <w:keepLines w:val="0"/>
        <w:pageBreakBefore w:val="0"/>
        <w:kinsoku/>
        <w:wordWrap/>
        <w:overflowPunct/>
        <w:topLinePunct w:val="0"/>
        <w:bidi w:val="0"/>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.2评标将进行全程实时录音录像，录音录像资料随</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一并存档。</w:t>
      </w:r>
    </w:p>
    <w:p>
      <w:pPr>
        <w:pStyle w:val="12"/>
        <w:keepNext w:val="0"/>
        <w:keepLines w:val="0"/>
        <w:pageBreakBefore w:val="0"/>
        <w:kinsoku/>
        <w:wordWrap/>
        <w:overflowPunct/>
        <w:topLinePunct w:val="0"/>
        <w:bidi w:val="0"/>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.3若投标人有任何试图干扰具体评标事务，影响评标委员会独立履行职责的行为，其投标无效且不予退还投标保证金。情节严重的，由财政部门列入不良行为记录。</w:t>
      </w:r>
    </w:p>
    <w:p>
      <w:pPr>
        <w:pStyle w:val="12"/>
        <w:keepNext w:val="0"/>
        <w:keepLines w:val="0"/>
        <w:pageBreakBefore w:val="0"/>
        <w:kinsoku/>
        <w:wordWrap/>
        <w:overflowPunct/>
        <w:topLinePunct w:val="0"/>
        <w:bidi w:val="0"/>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.4其他：</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w:t>
      </w:r>
    </w:p>
    <w:p>
      <w:pPr>
        <w:pStyle w:val="12"/>
        <w:keepNext w:val="0"/>
        <w:keepLines w:val="0"/>
        <w:pageBreakBefore w:val="0"/>
        <w:kinsoku/>
        <w:wordWrap/>
        <w:overflowPunct/>
        <w:topLinePunct w:val="0"/>
        <w:bidi w:val="0"/>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p>
    <w:p>
      <w:pPr>
        <w:pStyle w:val="12"/>
        <w:keepNext w:val="0"/>
        <w:keepLines w:val="0"/>
        <w:pageBreakBefore w:val="0"/>
        <w:kinsoku/>
        <w:wordWrap/>
        <w:overflowPunct/>
        <w:topLinePunct w:val="0"/>
        <w:bidi w:val="0"/>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p>
    <w:p>
      <w:pPr>
        <w:pStyle w:val="12"/>
        <w:keepNext w:val="0"/>
        <w:keepLines w:val="0"/>
        <w:pageBreakBefore w:val="0"/>
        <w:kinsoku/>
        <w:wordWrap/>
        <w:overflowPunct/>
        <w:topLinePunct w:val="0"/>
        <w:bidi w:val="0"/>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p>
    <w:p>
      <w:pPr>
        <w:pStyle w:val="12"/>
        <w:keepNext w:val="0"/>
        <w:keepLines w:val="0"/>
        <w:pageBreakBefore w:val="0"/>
        <w:kinsoku/>
        <w:wordWrap/>
        <w:overflowPunct/>
        <w:topLinePunct w:val="0"/>
        <w:bidi w:val="0"/>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p>
    <w:p>
      <w:pPr>
        <w:pStyle w:val="12"/>
        <w:keepNext w:val="0"/>
        <w:keepLines w:val="0"/>
        <w:pageBreakBefore w:val="0"/>
        <w:kinsoku/>
        <w:wordWrap/>
        <w:overflowPunct/>
        <w:topLinePunct w:val="0"/>
        <w:bidi w:val="0"/>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p>
    <w:p>
      <w:pPr>
        <w:pStyle w:val="12"/>
        <w:keepNext w:val="0"/>
        <w:keepLines w:val="0"/>
        <w:pageBreakBefore w:val="0"/>
        <w:kinsoku/>
        <w:wordWrap/>
        <w:overflowPunct/>
        <w:topLinePunct w:val="0"/>
        <w:bidi w:val="0"/>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p>
    <w:p>
      <w:pPr>
        <w:pStyle w:val="12"/>
        <w:keepNext w:val="0"/>
        <w:keepLines w:val="0"/>
        <w:pageBreakBefore w:val="0"/>
        <w:kinsoku/>
        <w:wordWrap/>
        <w:overflowPunct/>
        <w:topLinePunct w:val="0"/>
        <w:bidi w:val="0"/>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p>
    <w:p>
      <w:pPr>
        <w:pStyle w:val="12"/>
        <w:keepNext w:val="0"/>
        <w:keepLines w:val="0"/>
        <w:pageBreakBefore w:val="0"/>
        <w:kinsoku/>
        <w:wordWrap/>
        <w:overflowPunct/>
        <w:topLinePunct w:val="0"/>
        <w:bidi w:val="0"/>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p>
    <w:p>
      <w:pPr>
        <w:pStyle w:val="12"/>
        <w:keepNext w:val="0"/>
        <w:keepLines w:val="0"/>
        <w:pageBreakBefore w:val="0"/>
        <w:kinsoku/>
        <w:wordWrap/>
        <w:overflowPunct/>
        <w:topLinePunct w:val="0"/>
        <w:bidi w:val="0"/>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p>
    <w:p>
      <w:pPr>
        <w:pStyle w:val="12"/>
        <w:keepNext w:val="0"/>
        <w:keepLines w:val="0"/>
        <w:pageBreakBefore w:val="0"/>
        <w:kinsoku/>
        <w:wordWrap/>
        <w:overflowPunct/>
        <w:topLinePunct w:val="0"/>
        <w:bidi w:val="0"/>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p>
    <w:p>
      <w:pPr>
        <w:pStyle w:val="12"/>
        <w:keepNext w:val="0"/>
        <w:keepLines w:val="0"/>
        <w:pageBreakBefore w:val="0"/>
        <w:kinsoku/>
        <w:wordWrap/>
        <w:overflowPunct/>
        <w:topLinePunct w:val="0"/>
        <w:bidi w:val="0"/>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p>
    <w:p>
      <w:pPr>
        <w:pStyle w:val="12"/>
        <w:keepNext w:val="0"/>
        <w:keepLines w:val="0"/>
        <w:pageBreakBefore w:val="0"/>
        <w:kinsoku/>
        <w:wordWrap/>
        <w:overflowPunct/>
        <w:topLinePunct w:val="0"/>
        <w:bidi w:val="0"/>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p>
    <w:p>
      <w:pPr>
        <w:pStyle w:val="12"/>
        <w:keepNext w:val="0"/>
        <w:keepLines w:val="0"/>
        <w:pageBreakBefore w:val="0"/>
        <w:kinsoku/>
        <w:wordWrap/>
        <w:overflowPunct/>
        <w:topLinePunct w:val="0"/>
        <w:bidi w:val="0"/>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p>
    <w:p>
      <w:pPr>
        <w:pStyle w:val="12"/>
        <w:keepNext w:val="0"/>
        <w:keepLines w:val="0"/>
        <w:pageBreakBefore w:val="0"/>
        <w:kinsoku/>
        <w:wordWrap/>
        <w:overflowPunct/>
        <w:topLinePunct w:val="0"/>
        <w:bidi w:val="0"/>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p>
    <w:p>
      <w:pPr>
        <w:pStyle w:val="12"/>
        <w:keepNext w:val="0"/>
        <w:keepLines w:val="0"/>
        <w:pageBreakBefore w:val="0"/>
        <w:kinsoku/>
        <w:wordWrap/>
        <w:overflowPunct/>
        <w:topLinePunct w:val="0"/>
        <w:bidi w:val="0"/>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p>
    <w:p>
      <w:pPr>
        <w:pStyle w:val="19"/>
        <w:jc w:val="center"/>
        <w:outlineLvl w:val="1"/>
        <w:rPr>
          <w:color w:val="auto"/>
          <w:highlight w:val="none"/>
        </w:rPr>
      </w:pPr>
      <w:r>
        <w:rPr>
          <w:b/>
          <w:color w:val="auto"/>
          <w:sz w:val="36"/>
          <w:highlight w:val="none"/>
        </w:rPr>
        <w:t>第五章 招标内容及要求</w:t>
      </w:r>
    </w:p>
    <w:p>
      <w:pPr>
        <w:pStyle w:val="19"/>
        <w:keepNext w:val="0"/>
        <w:keepLines w:val="0"/>
        <w:pageBreakBefore w:val="0"/>
        <w:kinsoku/>
        <w:wordWrap/>
        <w:overflowPunct/>
        <w:topLinePunct w:val="0"/>
        <w:autoSpaceDN/>
        <w:bidi w:val="0"/>
        <w:spacing w:line="360" w:lineRule="exact"/>
        <w:jc w:val="both"/>
        <w:textAlignment w:val="auto"/>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一、项目概况（采购标的）</w:t>
      </w:r>
    </w:p>
    <w:p>
      <w:pPr>
        <w:keepNext w:val="0"/>
        <w:keepLines w:val="0"/>
        <w:pageBreakBefore w:val="0"/>
        <w:widowControl w:val="0"/>
        <w:kinsoku/>
        <w:wordWrap/>
        <w:overflowPunct/>
        <w:topLinePunct w:val="0"/>
        <w:autoSpaceDE/>
        <w:autoSpaceDN/>
        <w:bidi w:val="0"/>
        <w:spacing w:line="360" w:lineRule="exact"/>
        <w:ind w:firstLine="481"/>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本章内容必须逐项应答，未逐项应答或不满足采购文件任一重要条款(带★号条款)将导致响应无效。本章第二大点带★号技术参数条款等未提供相关佐证材料的视为不满足。</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上述“相关佐证材料”包括:国家认可的检验(检测)机构出具的有效检验(检测)报告、认证证书，或者所投货物制造商公开发布的印刷技术资料(彩页或技术说明书)，或者所投货物制造商官网发布的技术资料(并提供网址)，或者</w:t>
      </w:r>
      <w:r>
        <w:rPr>
          <w:rFonts w:hint="eastAsia" w:ascii="宋体" w:hAnsi="宋体" w:eastAsia="宋体" w:cs="宋体"/>
          <w:b/>
          <w:bCs/>
          <w:color w:val="auto"/>
          <w:sz w:val="24"/>
          <w:szCs w:val="24"/>
          <w:highlight w:val="none"/>
          <w:lang w:val="en-US" w:eastAsia="zh-CN"/>
        </w:rPr>
        <w:t>评标委员会</w:t>
      </w:r>
      <w:r>
        <w:rPr>
          <w:rFonts w:hint="eastAsia" w:ascii="宋体" w:hAnsi="宋体" w:eastAsia="宋体" w:cs="宋体"/>
          <w:b/>
          <w:bCs/>
          <w:color w:val="auto"/>
          <w:sz w:val="24"/>
          <w:szCs w:val="24"/>
          <w:highlight w:val="none"/>
        </w:rPr>
        <w:t>认可的其他客观证据材料。</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及所投产品应满足下述要求：</w:t>
      </w:r>
    </w:p>
    <w:p>
      <w:pPr>
        <w:pStyle w:val="21"/>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投标人所投货物为生产厂家的正规合格产品，所有货物均为全新原厂原包装（未经使用和非展览会展示样品设备，外观无刮、碰痕迹，并有下列明显标记：名称、品牌型号、制造商标识、产地、出厂日期、出产序列号等），不接受改装改配产品。货物的制造标准及技术规范等有关资料必须符合国家相关标准、规范要求。货物的电气、设备仪表应符合国家相关规定，噪音方面符合国家相关标准，货物质量达到设计要求，安装调试各项指标符合技术参数要求且须通过质检计量部门的检验。</w:t>
      </w:r>
    </w:p>
    <w:p>
      <w:pPr>
        <w:pStyle w:val="21"/>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投标人应按正规销售渠道供货，保证采购人能享受原厂或原厂认可的售后维修机构的售后服务。投标人所提供的服务应符合国家相关法律法规。投标人提供的产品中如有配套使用的相关软件，必须是正版的、合法的。</w:t>
      </w:r>
    </w:p>
    <w:p>
      <w:pPr>
        <w:pStyle w:val="21"/>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kern w:val="2"/>
          <w:sz w:val="24"/>
          <w:szCs w:val="24"/>
          <w:highlight w:val="none"/>
          <w:lang w:val="en-US" w:eastAsia="zh-CN" w:bidi="ar-SA"/>
        </w:rPr>
        <w:t>1.3投标人须保障采购人在使用该货物或其任何一部分时不受到第三方关于侵犯专利权、商标权或工业设计权等知识产权的指控，任何第三方如果提出此方面指控均与招标采购单位无关，投标人应与第三方交涉，并承担可能发生的一切法律责任、费用和后果；若招标采购单位因此而遭致损失的，投标人应赔偿该损失。</w:t>
      </w:r>
      <w:r>
        <w:rPr>
          <w:rFonts w:hint="eastAsia" w:ascii="宋体" w:hAnsi="宋体" w:eastAsia="宋体" w:cs="宋体"/>
          <w:b/>
          <w:bCs/>
          <w:color w:val="auto"/>
          <w:kern w:val="2"/>
          <w:sz w:val="24"/>
          <w:szCs w:val="24"/>
          <w:highlight w:val="none"/>
          <w:lang w:val="en-US" w:eastAsia="zh-CN" w:bidi="ar-SA"/>
        </w:rPr>
        <w:t>投标人</w:t>
      </w:r>
      <w:r>
        <w:rPr>
          <w:rFonts w:hint="eastAsia" w:ascii="宋体" w:hAnsi="宋体" w:eastAsia="宋体" w:cs="宋体"/>
          <w:b/>
          <w:bCs/>
          <w:color w:val="auto"/>
          <w:sz w:val="24"/>
          <w:szCs w:val="24"/>
          <w:highlight w:val="none"/>
        </w:rPr>
        <w:t>须确保所投货物符合招标文件规定的合同范围、合同履行及关键质量和性能，保证所投货物的基本配置要求、保修期及付款方式符合采购需求，否则视为没有实质性响应</w:t>
      </w:r>
      <w:r>
        <w:rPr>
          <w:rFonts w:hint="eastAsia" w:ascii="宋体" w:hAnsi="宋体" w:eastAsia="宋体" w:cs="宋体"/>
          <w:b/>
          <w:bCs/>
          <w:color w:val="auto"/>
          <w:sz w:val="24"/>
          <w:szCs w:val="24"/>
          <w:highlight w:val="none"/>
          <w:lang w:val="en-US" w:eastAsia="zh-CN"/>
        </w:rPr>
        <w:t>采购</w:t>
      </w:r>
      <w:r>
        <w:rPr>
          <w:rFonts w:hint="eastAsia" w:ascii="宋体" w:hAnsi="宋体" w:eastAsia="宋体" w:cs="宋体"/>
          <w:b/>
          <w:bCs/>
          <w:color w:val="auto"/>
          <w:sz w:val="24"/>
          <w:szCs w:val="24"/>
          <w:highlight w:val="none"/>
        </w:rPr>
        <w:t>文件要求。</w:t>
      </w:r>
      <w:r>
        <w:rPr>
          <w:rFonts w:hint="eastAsia" w:ascii="宋体" w:hAnsi="宋体" w:eastAsia="宋体" w:cs="宋体"/>
          <w:b/>
          <w:bCs/>
          <w:color w:val="auto"/>
          <w:kern w:val="2"/>
          <w:sz w:val="24"/>
          <w:szCs w:val="24"/>
          <w:highlight w:val="none"/>
          <w:lang w:val="en-US" w:eastAsia="zh-CN" w:bidi="ar-SA"/>
        </w:rPr>
        <w:t>投标人</w:t>
      </w:r>
      <w:r>
        <w:rPr>
          <w:rFonts w:hint="eastAsia" w:ascii="宋体" w:hAnsi="宋体" w:eastAsia="宋体" w:cs="宋体"/>
          <w:b/>
          <w:bCs/>
          <w:color w:val="auto"/>
          <w:sz w:val="24"/>
          <w:szCs w:val="24"/>
          <w:highlight w:val="none"/>
          <w:lang w:val="en-US" w:eastAsia="zh-CN"/>
        </w:rPr>
        <w:t>中标</w:t>
      </w:r>
      <w:r>
        <w:rPr>
          <w:rFonts w:hint="eastAsia" w:ascii="宋体" w:hAnsi="宋体" w:eastAsia="宋体" w:cs="宋体"/>
          <w:b/>
          <w:bCs/>
          <w:color w:val="auto"/>
          <w:sz w:val="24"/>
          <w:szCs w:val="24"/>
          <w:highlight w:val="none"/>
        </w:rPr>
        <w:t>后提供的产品不满足本条款要求的，采购人将拒绝验收，由此带来的一切损失将由</w:t>
      </w:r>
      <w:r>
        <w:rPr>
          <w:rFonts w:hint="eastAsia" w:ascii="宋体" w:hAnsi="宋体" w:eastAsia="宋体" w:cs="宋体"/>
          <w:b/>
          <w:bCs/>
          <w:color w:val="auto"/>
          <w:kern w:val="2"/>
          <w:sz w:val="24"/>
          <w:szCs w:val="24"/>
          <w:highlight w:val="none"/>
          <w:lang w:val="en-US" w:eastAsia="zh-CN" w:bidi="ar-SA"/>
        </w:rPr>
        <w:t>投标人</w:t>
      </w:r>
      <w:r>
        <w:rPr>
          <w:rFonts w:hint="eastAsia" w:ascii="宋体" w:hAnsi="宋体" w:eastAsia="宋体" w:cs="宋体"/>
          <w:b/>
          <w:bCs/>
          <w:color w:val="auto"/>
          <w:sz w:val="24"/>
          <w:szCs w:val="24"/>
          <w:highlight w:val="none"/>
        </w:rPr>
        <w:t>负责。</w:t>
      </w:r>
    </w:p>
    <w:p>
      <w:pPr>
        <w:pStyle w:val="2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kern w:val="2"/>
          <w:sz w:val="24"/>
          <w:szCs w:val="24"/>
          <w:highlight w:val="none"/>
          <w:lang w:val="en-US" w:eastAsia="zh-CN" w:bidi="ar-SA"/>
        </w:rPr>
        <w:t>2、投标人须对以下条款进行承诺，否则视为无效投标（承诺函格式自拟）：</w:t>
      </w:r>
    </w:p>
    <w:p>
      <w:pPr>
        <w:pStyle w:val="21"/>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2.1投标人须承诺：保修期内提供一切免费维护维修服务，包括所有零配件、易损易耗品、耗材（除一次性耗材外）更换服务，否则视为无效投标。</w:t>
      </w:r>
    </w:p>
    <w:p>
      <w:pPr>
        <w:pStyle w:val="21"/>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2.2若设备投入使用前需要办理特种设备使用登记证等相关证件，投标人须配合采购人做好相关证件办理事宜，未取得相关证件之前，不得投入临床使用、不得进行验收；</w:t>
      </w:r>
    </w:p>
    <w:p>
      <w:pPr>
        <w:pStyle w:val="21"/>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2.3上述证件办理过程中所涉及到相关费用，一律由投标人承担；</w:t>
      </w:r>
    </w:p>
    <w:p>
      <w:pPr>
        <w:pStyle w:val="21"/>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2.4若仪器投入使用前有涉及水电改造、管路改造、移机等相关事宜及所产生的费用，一律由投标人承担；</w:t>
      </w:r>
    </w:p>
    <w:p>
      <w:pPr>
        <w:pStyle w:val="21"/>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2.5若无特殊情况，投标人所提供合同货物的生产日期距合同签订之日不得超过12个月，否则采购人有权要求更换合同货物，而且所有费用均由投标人承担。</w:t>
      </w:r>
    </w:p>
    <w:p>
      <w:pPr>
        <w:pStyle w:val="21"/>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投标人中标后提供的产品不满足上述条款要求的，采购人将拒绝验收，由此带来的一切损失将由投标人负责。</w:t>
      </w:r>
    </w:p>
    <w:p>
      <w:pPr>
        <w:pStyle w:val="19"/>
        <w:keepNext w:val="0"/>
        <w:keepLines w:val="0"/>
        <w:pageBreakBefore w:val="0"/>
        <w:kinsoku/>
        <w:wordWrap/>
        <w:overflowPunct/>
        <w:topLinePunct w:val="0"/>
        <w:autoSpaceDN/>
        <w:bidi w:val="0"/>
        <w:spacing w:line="36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、投标人提供本项目</w:t>
      </w:r>
      <w:r>
        <w:rPr>
          <w:rFonts w:hint="eastAsia" w:ascii="宋体" w:hAnsi="宋体" w:eastAsia="宋体" w:cs="宋体"/>
          <w:b/>
          <w:color w:val="auto"/>
          <w:sz w:val="24"/>
          <w:szCs w:val="24"/>
          <w:highlight w:val="none"/>
          <w:lang w:eastAsia="zh-CN"/>
        </w:rPr>
        <w:t>合同包</w:t>
      </w:r>
      <w:r>
        <w:rPr>
          <w:rFonts w:hint="eastAsia" w:ascii="宋体" w:hAnsi="宋体" w:eastAsia="宋体" w:cs="宋体"/>
          <w:b/>
          <w:color w:val="auto"/>
          <w:sz w:val="24"/>
          <w:szCs w:val="24"/>
          <w:highlight w:val="none"/>
        </w:rPr>
        <w:t>的投标总报价均不得超过</w:t>
      </w:r>
      <w:r>
        <w:rPr>
          <w:rFonts w:hint="eastAsia" w:ascii="宋体" w:hAnsi="宋体" w:eastAsia="宋体" w:cs="宋体"/>
          <w:b/>
          <w:color w:val="auto"/>
          <w:sz w:val="24"/>
          <w:szCs w:val="24"/>
          <w:highlight w:val="none"/>
          <w:lang w:eastAsia="zh-CN"/>
        </w:rPr>
        <w:t>合同包</w:t>
      </w:r>
      <w:r>
        <w:rPr>
          <w:rFonts w:hint="eastAsia" w:ascii="宋体" w:hAnsi="宋体" w:eastAsia="宋体" w:cs="宋体"/>
          <w:b/>
          <w:color w:val="auto"/>
          <w:sz w:val="24"/>
          <w:szCs w:val="24"/>
          <w:highlight w:val="none"/>
        </w:rPr>
        <w:t>的最高限价，若超过最高限价的</w:t>
      </w:r>
      <w:r>
        <w:rPr>
          <w:rFonts w:hint="eastAsia" w:ascii="宋体" w:hAnsi="宋体" w:eastAsia="宋体" w:cs="宋体"/>
          <w:b/>
          <w:color w:val="auto"/>
          <w:sz w:val="24"/>
          <w:szCs w:val="24"/>
          <w:highlight w:val="none"/>
          <w:lang w:val="en-US" w:eastAsia="zh-CN"/>
        </w:rPr>
        <w:t>则</w:t>
      </w:r>
      <w:r>
        <w:rPr>
          <w:rFonts w:hint="eastAsia" w:ascii="宋体" w:hAnsi="宋体" w:eastAsia="宋体" w:cs="宋体"/>
          <w:b/>
          <w:color w:val="auto"/>
          <w:sz w:val="24"/>
          <w:szCs w:val="24"/>
          <w:highlight w:val="none"/>
        </w:rPr>
        <w:t>按无效投标处理。</w:t>
      </w:r>
    </w:p>
    <w:p>
      <w:pPr>
        <w:pStyle w:val="19"/>
        <w:keepNext w:val="0"/>
        <w:keepLines w:val="0"/>
        <w:pageBreakBefore w:val="0"/>
        <w:kinsoku/>
        <w:wordWrap/>
        <w:overflowPunct/>
        <w:topLinePunct w:val="0"/>
        <w:autoSpaceDN/>
        <w:bidi w:val="0"/>
        <w:spacing w:line="36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、投标</w:t>
      </w:r>
      <w:r>
        <w:rPr>
          <w:rFonts w:hint="eastAsia" w:ascii="宋体" w:hAnsi="宋体" w:eastAsia="宋体" w:cs="宋体"/>
          <w:b/>
          <w:color w:val="auto"/>
          <w:sz w:val="24"/>
          <w:szCs w:val="24"/>
          <w:highlight w:val="none"/>
        </w:rPr>
        <w:t>人报价部分须对“二、技术和服务要求”中所有设备进行分项报价，须提供“投标分项报价表”，“投标分项报价表”须含</w:t>
      </w:r>
      <w:r>
        <w:rPr>
          <w:rFonts w:hint="eastAsia" w:ascii="宋体" w:hAnsi="宋体" w:eastAsia="宋体" w:cs="宋体"/>
          <w:b/>
          <w:color w:val="auto"/>
          <w:sz w:val="24"/>
          <w:szCs w:val="24"/>
          <w:highlight w:val="none"/>
          <w:lang w:eastAsia="zh-CN"/>
        </w:rPr>
        <w:t>合同包</w:t>
      </w:r>
      <w:r>
        <w:rPr>
          <w:rFonts w:hint="eastAsia" w:ascii="宋体" w:hAnsi="宋体" w:eastAsia="宋体" w:cs="宋体"/>
          <w:b/>
          <w:color w:val="auto"/>
          <w:sz w:val="24"/>
          <w:szCs w:val="24"/>
          <w:highlight w:val="none"/>
        </w:rPr>
        <w:t>所有设备的单价、数量、总价等，否则视为无效投标。</w:t>
      </w:r>
    </w:p>
    <w:p>
      <w:pPr>
        <w:pStyle w:val="19"/>
        <w:keepNext w:val="0"/>
        <w:keepLines w:val="0"/>
        <w:pageBreakBefore w:val="0"/>
        <w:kinsoku/>
        <w:wordWrap/>
        <w:overflowPunct/>
        <w:topLinePunct w:val="0"/>
        <w:autoSpaceDN/>
        <w:bidi w:val="0"/>
        <w:spacing w:line="360" w:lineRule="exact"/>
        <w:jc w:val="both"/>
        <w:textAlignment w:val="auto"/>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二、技术和服务要求（以“★”标示的内容为不允许负偏离的实质性要求）</w:t>
      </w:r>
    </w:p>
    <w:p>
      <w:pPr>
        <w:pStyle w:val="19"/>
        <w:keepNext w:val="0"/>
        <w:keepLines w:val="0"/>
        <w:pageBreakBefore w:val="0"/>
        <w:kinsoku/>
        <w:wordWrap/>
        <w:overflowPunct/>
        <w:topLinePunct w:val="0"/>
        <w:autoSpaceDN/>
        <w:bidi w:val="0"/>
        <w:spacing w:line="36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合同包</w:t>
      </w:r>
      <w:r>
        <w:rPr>
          <w:rFonts w:hint="eastAsia" w:ascii="宋体" w:hAnsi="宋体" w:eastAsia="宋体" w:cs="宋体"/>
          <w:b/>
          <w:color w:val="auto"/>
          <w:sz w:val="24"/>
          <w:szCs w:val="24"/>
          <w:highlight w:val="none"/>
        </w:rPr>
        <w:t>1</w:t>
      </w:r>
    </w:p>
    <w:p>
      <w:pPr>
        <w:pStyle w:val="19"/>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品目号1</w:t>
      </w:r>
      <w:r>
        <w:rPr>
          <w:rFonts w:hint="eastAsia" w:ascii="宋体" w:hAnsi="宋体" w:eastAsia="宋体" w:cs="宋体"/>
          <w:b/>
          <w:color w:val="auto"/>
          <w:sz w:val="24"/>
          <w:szCs w:val="24"/>
          <w:highlight w:val="none"/>
        </w:rPr>
        <w:t>数字化平板造影X线机（胃肠摄影X线机）、</w:t>
      </w:r>
      <w:r>
        <w:rPr>
          <w:rFonts w:hint="eastAsia" w:ascii="宋体" w:hAnsi="宋体" w:eastAsia="宋体" w:cs="宋体"/>
          <w:b/>
          <w:color w:val="auto"/>
          <w:sz w:val="24"/>
          <w:szCs w:val="24"/>
          <w:highlight w:val="none"/>
          <w:lang w:val="en-US" w:eastAsia="zh-CN"/>
        </w:rPr>
        <w:t>品目号2</w:t>
      </w:r>
      <w:r>
        <w:rPr>
          <w:rFonts w:hint="eastAsia" w:ascii="宋体" w:hAnsi="宋体" w:eastAsia="宋体" w:cs="宋体"/>
          <w:b/>
          <w:color w:val="auto"/>
          <w:sz w:val="24"/>
          <w:szCs w:val="24"/>
          <w:highlight w:val="none"/>
        </w:rPr>
        <w:t>数字化双板X线（DR）机、</w:t>
      </w:r>
      <w:r>
        <w:rPr>
          <w:rFonts w:hint="eastAsia" w:ascii="宋体" w:hAnsi="宋体" w:eastAsia="宋体" w:cs="宋体"/>
          <w:b/>
          <w:color w:val="auto"/>
          <w:sz w:val="24"/>
          <w:szCs w:val="24"/>
          <w:highlight w:val="none"/>
          <w:lang w:val="en-US" w:eastAsia="zh-CN"/>
        </w:rPr>
        <w:t>品目号3</w:t>
      </w:r>
      <w:r>
        <w:rPr>
          <w:rFonts w:hint="eastAsia" w:ascii="宋体" w:hAnsi="宋体" w:eastAsia="宋体" w:cs="宋体"/>
          <w:b/>
          <w:color w:val="auto"/>
          <w:sz w:val="24"/>
          <w:szCs w:val="24"/>
          <w:highlight w:val="none"/>
        </w:rPr>
        <w:t>乳腺钼靶X线机、</w:t>
      </w:r>
      <w:r>
        <w:rPr>
          <w:rFonts w:hint="eastAsia" w:ascii="宋体" w:hAnsi="宋体" w:eastAsia="宋体" w:cs="宋体"/>
          <w:b/>
          <w:color w:val="auto"/>
          <w:sz w:val="24"/>
          <w:szCs w:val="24"/>
          <w:highlight w:val="none"/>
          <w:lang w:val="en-US" w:eastAsia="zh-CN"/>
        </w:rPr>
        <w:t>品目号4</w:t>
      </w:r>
      <w:r>
        <w:rPr>
          <w:rFonts w:hint="eastAsia" w:ascii="宋体" w:hAnsi="宋体" w:eastAsia="宋体" w:cs="宋体"/>
          <w:b/>
          <w:color w:val="auto"/>
          <w:sz w:val="24"/>
          <w:szCs w:val="24"/>
          <w:highlight w:val="none"/>
        </w:rPr>
        <w:t>移动DR(床旁拍片机)”为核心产品，下表中以“◆”标示，若出现多家投标人所投核心产品为同一品牌的，则按一家投标人计算。</w:t>
      </w:r>
    </w:p>
    <w:p>
      <w:pPr>
        <w:pStyle w:val="19"/>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本项目技术参数如下：</w:t>
      </w:r>
    </w:p>
    <w:p>
      <w:pPr>
        <w:pStyle w:val="19"/>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★本项目招标设备总体要求如下：</w:t>
      </w:r>
    </w:p>
    <w:p>
      <w:pPr>
        <w:pStyle w:val="19"/>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品目号1</w:t>
      </w:r>
      <w:r>
        <w:rPr>
          <w:rFonts w:hint="eastAsia" w:ascii="宋体" w:hAnsi="宋体" w:eastAsia="宋体" w:cs="宋体"/>
          <w:b/>
          <w:color w:val="auto"/>
          <w:sz w:val="24"/>
          <w:szCs w:val="24"/>
          <w:highlight w:val="none"/>
        </w:rPr>
        <w:t>数字化平板造影X线机（胃肠摄影X线机）1套。</w:t>
      </w:r>
    </w:p>
    <w:p>
      <w:pPr>
        <w:pStyle w:val="19"/>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基本</w:t>
      </w:r>
      <w:r>
        <w:rPr>
          <w:rFonts w:hint="eastAsia" w:ascii="宋体" w:hAnsi="宋体" w:eastAsia="宋体" w:cs="宋体"/>
          <w:b/>
          <w:color w:val="auto"/>
          <w:sz w:val="24"/>
          <w:szCs w:val="24"/>
          <w:highlight w:val="none"/>
        </w:rPr>
        <w:t>配置要求：高压发生器1台</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X射线球管及组件1套</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平板探测器1套</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自动限束器1套</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透视摄影机架1套</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控制台1套</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计算机系统1套</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医用专显1套</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曝光手闸1套</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旋转脚踏1套。</w:t>
      </w:r>
    </w:p>
    <w:p>
      <w:pPr>
        <w:pStyle w:val="19"/>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品目号2</w:t>
      </w:r>
      <w:r>
        <w:rPr>
          <w:rFonts w:hint="eastAsia" w:ascii="宋体" w:hAnsi="宋体" w:eastAsia="宋体" w:cs="宋体"/>
          <w:b/>
          <w:color w:val="auto"/>
          <w:sz w:val="24"/>
          <w:szCs w:val="24"/>
          <w:highlight w:val="none"/>
        </w:rPr>
        <w:t>数字化双板X线（DR）机1套。</w:t>
      </w:r>
    </w:p>
    <w:p>
      <w:pPr>
        <w:pStyle w:val="19"/>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基本</w:t>
      </w:r>
      <w:r>
        <w:rPr>
          <w:rFonts w:hint="eastAsia" w:ascii="宋体" w:hAnsi="宋体" w:eastAsia="宋体" w:cs="宋体"/>
          <w:b/>
          <w:color w:val="auto"/>
          <w:sz w:val="24"/>
          <w:szCs w:val="24"/>
          <w:highlight w:val="none"/>
        </w:rPr>
        <w:t>配置要求：高压发生器 1台</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X射线球管及组件1套</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自动束光器1套</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影像工作站1套</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球管支架系统1套</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无线平板探测器2个</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影像处理软件及硬件1套</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体检专用套件1套</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电动胸片架系统1套</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电动可升降检查床装置1套</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自动长骨图像拼接功能软件及硬件1套。</w:t>
      </w:r>
    </w:p>
    <w:p>
      <w:pPr>
        <w:pStyle w:val="19"/>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品目号3</w:t>
      </w:r>
      <w:r>
        <w:rPr>
          <w:rFonts w:hint="eastAsia" w:ascii="宋体" w:hAnsi="宋体" w:eastAsia="宋体" w:cs="宋体"/>
          <w:b/>
          <w:color w:val="auto"/>
          <w:sz w:val="24"/>
          <w:szCs w:val="24"/>
          <w:highlight w:val="none"/>
        </w:rPr>
        <w:t>乳腺钼靶X线机1套。</w:t>
      </w:r>
    </w:p>
    <w:p>
      <w:pPr>
        <w:pStyle w:val="19"/>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基本</w:t>
      </w:r>
      <w:r>
        <w:rPr>
          <w:rFonts w:hint="eastAsia" w:ascii="宋体" w:hAnsi="宋体" w:eastAsia="宋体" w:cs="宋体"/>
          <w:b/>
          <w:color w:val="auto"/>
          <w:sz w:val="24"/>
          <w:szCs w:val="24"/>
          <w:highlight w:val="none"/>
        </w:rPr>
        <w:t>配置要求：平板探测器1套</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X射线球管及组件1套</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机架系统1套</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图像采集工作站1套</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滤线栅/乳腺支撑架1套</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高压发生器1台</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供电电源1套</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压迫板1套</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面部防护屏1套。</w:t>
      </w:r>
    </w:p>
    <w:p>
      <w:pPr>
        <w:pStyle w:val="19"/>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品目号4移动DR(床旁拍片机)</w:t>
      </w:r>
      <w:r>
        <w:rPr>
          <w:rFonts w:hint="eastAsia" w:ascii="宋体" w:hAnsi="宋体" w:eastAsia="宋体" w:cs="宋体"/>
          <w:b/>
          <w:color w:val="auto"/>
          <w:sz w:val="24"/>
          <w:szCs w:val="24"/>
          <w:highlight w:val="none"/>
        </w:rPr>
        <w:t>1套。</w:t>
      </w:r>
    </w:p>
    <w:p>
      <w:pPr>
        <w:pStyle w:val="19"/>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基本</w:t>
      </w:r>
      <w:r>
        <w:rPr>
          <w:rFonts w:hint="eastAsia" w:ascii="宋体" w:hAnsi="宋体" w:eastAsia="宋体" w:cs="宋体"/>
          <w:b/>
          <w:color w:val="auto"/>
          <w:sz w:val="24"/>
          <w:szCs w:val="24"/>
          <w:highlight w:val="none"/>
        </w:rPr>
        <w:t>配置要求：X射线球管及组件1套</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高频高压发生器1台</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无线平板探测器1套</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图像处理系统1套</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机架1套</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限束器1台。</w:t>
      </w:r>
    </w:p>
    <w:p>
      <w:pPr>
        <w:pStyle w:val="19"/>
        <w:keepNext w:val="0"/>
        <w:keepLines w:val="0"/>
        <w:pageBreakBefore w:val="0"/>
        <w:widowControl/>
        <w:kinsoku/>
        <w:wordWrap/>
        <w:overflowPunct/>
        <w:topLinePunct w:val="0"/>
        <w:autoSpaceDE/>
        <w:autoSpaceDN/>
        <w:bidi w:val="0"/>
        <w:adjustRightInd/>
        <w:snapToGrid/>
        <w:spacing w:before="313" w:beforeLines="100" w:line="360" w:lineRule="exact"/>
        <w:ind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品目号1</w:t>
      </w:r>
      <w:r>
        <w:rPr>
          <w:rFonts w:hint="eastAsia" w:ascii="宋体" w:hAnsi="宋体" w:eastAsia="宋体" w:cs="宋体"/>
          <w:b/>
          <w:color w:val="auto"/>
          <w:sz w:val="24"/>
          <w:szCs w:val="24"/>
          <w:highlight w:val="none"/>
        </w:rPr>
        <w:t>数字化平板造影X线机（胃肠摄影X线机）</w:t>
      </w:r>
    </w:p>
    <w:p>
      <w:pPr>
        <w:pStyle w:val="19"/>
        <w:keepNext w:val="0"/>
        <w:keepLines w:val="0"/>
        <w:pageBreakBefore w:val="0"/>
        <w:kinsoku/>
        <w:wordWrap/>
        <w:overflowPunct/>
        <w:topLinePunct w:val="0"/>
        <w:autoSpaceDN/>
        <w:bidi w:val="0"/>
        <w:spacing w:after="150" w:line="360" w:lineRule="exact"/>
        <w:ind w:firstLine="482"/>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kern w:val="2"/>
          <w:sz w:val="24"/>
          <w:szCs w:val="24"/>
          <w:highlight w:val="none"/>
          <w:lang w:val="en-US" w:eastAsia="zh-CN" w:bidi="ar-SA"/>
        </w:rPr>
        <w:t>主要</w:t>
      </w:r>
      <w:r>
        <w:rPr>
          <w:rFonts w:hint="eastAsia" w:ascii="宋体" w:hAnsi="宋体" w:eastAsia="宋体" w:cs="宋体"/>
          <w:b/>
          <w:color w:val="auto"/>
          <w:sz w:val="24"/>
          <w:szCs w:val="24"/>
          <w:highlight w:val="none"/>
        </w:rPr>
        <w:t>技术参数要求如下：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5.1.X线球管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w:t>
      </w:r>
      <w:r>
        <w:rPr>
          <w:rFonts w:hint="eastAsia" w:ascii="宋体" w:hAnsi="宋体" w:eastAsia="宋体" w:cs="宋体"/>
          <w:b w:val="0"/>
          <w:bCs/>
          <w:color w:val="auto"/>
          <w:sz w:val="24"/>
          <w:szCs w:val="24"/>
          <w:highlight w:val="none"/>
          <w:lang w:val="en-US" w:eastAsia="zh-CN"/>
        </w:rPr>
        <w:t>5.1.1.焦点尺寸：小焦点尺寸≤0.6mm，大焦点尺寸≥1.2mm；</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w:t>
      </w:r>
      <w:r>
        <w:rPr>
          <w:rFonts w:hint="eastAsia" w:ascii="宋体" w:hAnsi="宋体" w:eastAsia="宋体" w:cs="宋体"/>
          <w:b w:val="0"/>
          <w:bCs/>
          <w:color w:val="auto"/>
          <w:sz w:val="24"/>
          <w:szCs w:val="24"/>
          <w:highlight w:val="none"/>
          <w:lang w:val="en-US" w:eastAsia="zh-CN"/>
        </w:rPr>
        <w:t>5.1.2.输出功率：小焦点功率≥40kW，大焦点功率≥100kW；</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【评审指标3】</w:t>
      </w:r>
      <w:r>
        <w:rPr>
          <w:rFonts w:hint="eastAsia" w:ascii="宋体" w:hAnsi="宋体" w:eastAsia="宋体" w:cs="宋体"/>
          <w:b w:val="0"/>
          <w:bCs/>
          <w:color w:val="auto"/>
          <w:sz w:val="24"/>
          <w:szCs w:val="24"/>
          <w:highlight w:val="none"/>
          <w:lang w:val="en-US" w:eastAsia="zh-CN"/>
        </w:rPr>
        <w:t>5.1.3.阳极热容量：≥600KHU；</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【评审指标4】</w:t>
      </w:r>
      <w:r>
        <w:rPr>
          <w:rFonts w:hint="eastAsia" w:ascii="宋体" w:hAnsi="宋体" w:eastAsia="宋体" w:cs="宋体"/>
          <w:b w:val="0"/>
          <w:bCs/>
          <w:color w:val="auto"/>
          <w:sz w:val="24"/>
          <w:szCs w:val="24"/>
          <w:highlight w:val="none"/>
          <w:lang w:val="en-US" w:eastAsia="zh-CN"/>
        </w:rPr>
        <w:t>5.1.4.球管电压范围：≥40-150kV；</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【评审指标5】</w:t>
      </w:r>
      <w:r>
        <w:rPr>
          <w:rFonts w:hint="eastAsia" w:ascii="宋体" w:hAnsi="宋体" w:eastAsia="宋体" w:cs="宋体"/>
          <w:b w:val="0"/>
          <w:bCs/>
          <w:color w:val="auto"/>
          <w:sz w:val="24"/>
          <w:szCs w:val="24"/>
          <w:highlight w:val="none"/>
          <w:lang w:val="en-US" w:eastAsia="zh-CN"/>
        </w:rPr>
        <w:t>5.1.5.阳极转速：≥9600转/分；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5.2.限束器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【评审指标6】</w:t>
      </w:r>
      <w:r>
        <w:rPr>
          <w:rFonts w:hint="eastAsia" w:ascii="宋体" w:hAnsi="宋体" w:eastAsia="宋体" w:cs="宋体"/>
          <w:b w:val="0"/>
          <w:bCs/>
          <w:color w:val="auto"/>
          <w:sz w:val="24"/>
          <w:szCs w:val="24"/>
          <w:highlight w:val="none"/>
          <w:lang w:val="en-US" w:eastAsia="zh-CN"/>
        </w:rPr>
        <w:t>5.2.1.工作模式：具备自动调节功能，可实现光野尺寸的自动调节；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【评审指标7】</w:t>
      </w:r>
      <w:r>
        <w:rPr>
          <w:rFonts w:hint="eastAsia" w:ascii="宋体" w:hAnsi="宋体" w:eastAsia="宋体" w:cs="宋体"/>
          <w:b w:val="0"/>
          <w:bCs/>
          <w:color w:val="auto"/>
          <w:sz w:val="24"/>
          <w:szCs w:val="24"/>
          <w:highlight w:val="none"/>
          <w:lang w:val="en-US" w:eastAsia="zh-CN"/>
        </w:rPr>
        <w:t>5.2.2.手动操作：具备手动调节照摄野的尺寸功能；</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【评审指标8】</w:t>
      </w:r>
      <w:r>
        <w:rPr>
          <w:rFonts w:hint="eastAsia" w:ascii="宋体" w:hAnsi="宋体" w:eastAsia="宋体" w:cs="宋体"/>
          <w:b w:val="0"/>
          <w:bCs/>
          <w:color w:val="auto"/>
          <w:sz w:val="24"/>
          <w:szCs w:val="24"/>
          <w:highlight w:val="none"/>
          <w:lang w:val="en-US" w:eastAsia="zh-CN"/>
        </w:rPr>
        <w:t>▲5.2.3.带有LCD显示屏，可实时显示光野尺寸及焦片距等数据，显示屏可触摸操作；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5.3.高压发生器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【评审指标9】</w:t>
      </w:r>
      <w:r>
        <w:rPr>
          <w:rFonts w:hint="eastAsia" w:ascii="宋体" w:hAnsi="宋体" w:eastAsia="宋体" w:cs="宋体"/>
          <w:b w:val="0"/>
          <w:bCs/>
          <w:color w:val="auto"/>
          <w:sz w:val="24"/>
          <w:szCs w:val="24"/>
          <w:highlight w:val="none"/>
          <w:lang w:val="en-US" w:eastAsia="zh-CN"/>
        </w:rPr>
        <w:t>5.3.1.输出标称功率：≥70kW；</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【评审指标10】</w:t>
      </w:r>
      <w:r>
        <w:rPr>
          <w:rFonts w:hint="eastAsia" w:ascii="宋体" w:hAnsi="宋体" w:eastAsia="宋体" w:cs="宋体"/>
          <w:b w:val="0"/>
          <w:bCs/>
          <w:color w:val="auto"/>
          <w:sz w:val="24"/>
          <w:szCs w:val="24"/>
          <w:highlight w:val="none"/>
          <w:lang w:val="en-US" w:eastAsia="zh-CN"/>
        </w:rPr>
        <w:t>5.3.2.逆变频率：≥500KHZ；</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【评审指标11】</w:t>
      </w:r>
      <w:r>
        <w:rPr>
          <w:rFonts w:hint="eastAsia" w:ascii="宋体" w:hAnsi="宋体" w:eastAsia="宋体" w:cs="宋体"/>
          <w:b w:val="0"/>
          <w:bCs/>
          <w:color w:val="auto"/>
          <w:sz w:val="24"/>
          <w:szCs w:val="24"/>
          <w:highlight w:val="none"/>
          <w:lang w:val="en-US" w:eastAsia="zh-CN"/>
        </w:rPr>
        <w:t>5.3.3.摄影管电压范围：≥40-150kV；</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【评审指标12】</w:t>
      </w:r>
      <w:r>
        <w:rPr>
          <w:rFonts w:hint="eastAsia" w:ascii="宋体" w:hAnsi="宋体" w:eastAsia="宋体" w:cs="宋体"/>
          <w:b w:val="0"/>
          <w:bCs/>
          <w:color w:val="auto"/>
          <w:sz w:val="24"/>
          <w:szCs w:val="24"/>
          <w:highlight w:val="none"/>
          <w:lang w:val="en-US" w:eastAsia="zh-CN"/>
        </w:rPr>
        <w:t>5.3.4.摄影管电流范围：≥10-800mA；</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【评审指标13】</w:t>
      </w:r>
      <w:r>
        <w:rPr>
          <w:rFonts w:hint="eastAsia" w:ascii="宋体" w:hAnsi="宋体" w:eastAsia="宋体" w:cs="宋体"/>
          <w:b w:val="0"/>
          <w:bCs/>
          <w:color w:val="auto"/>
          <w:sz w:val="24"/>
          <w:szCs w:val="24"/>
          <w:highlight w:val="none"/>
          <w:lang w:val="en-US" w:eastAsia="zh-CN"/>
        </w:rPr>
        <w:t>5.3.5.加载时间范围：1ms-10s；</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【评审指标14】</w:t>
      </w:r>
      <w:r>
        <w:rPr>
          <w:rFonts w:hint="eastAsia" w:ascii="宋体" w:hAnsi="宋体" w:eastAsia="宋体" w:cs="宋体"/>
          <w:b w:val="0"/>
          <w:bCs/>
          <w:color w:val="auto"/>
          <w:sz w:val="24"/>
          <w:szCs w:val="24"/>
          <w:highlight w:val="none"/>
          <w:lang w:val="en-US" w:eastAsia="zh-CN"/>
        </w:rPr>
        <w:t>5.3.6.透视管电压范围：≥40-123kV；</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【评审指标15】</w:t>
      </w:r>
      <w:r>
        <w:rPr>
          <w:rFonts w:hint="eastAsia" w:ascii="宋体" w:hAnsi="宋体" w:eastAsia="宋体" w:cs="宋体"/>
          <w:b w:val="0"/>
          <w:bCs/>
          <w:color w:val="auto"/>
          <w:sz w:val="24"/>
          <w:szCs w:val="24"/>
          <w:highlight w:val="none"/>
          <w:lang w:val="en-US" w:eastAsia="zh-CN"/>
        </w:rPr>
        <w:t>5.3.7.具备连续透视及脉冲透视两种模式；</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【评审指标16】</w:t>
      </w:r>
      <w:r>
        <w:rPr>
          <w:rFonts w:hint="eastAsia" w:ascii="宋体" w:hAnsi="宋体" w:eastAsia="宋体" w:cs="宋体"/>
          <w:b w:val="0"/>
          <w:bCs/>
          <w:color w:val="auto"/>
          <w:sz w:val="24"/>
          <w:szCs w:val="24"/>
          <w:highlight w:val="none"/>
          <w:lang w:val="en-US" w:eastAsia="zh-CN"/>
        </w:rPr>
        <w:t>5.3.8.最大连续透视电流：≥10mA；</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【评审指标17】</w:t>
      </w:r>
      <w:r>
        <w:rPr>
          <w:rFonts w:hint="eastAsia" w:ascii="宋体" w:hAnsi="宋体" w:eastAsia="宋体" w:cs="宋体"/>
          <w:b w:val="0"/>
          <w:bCs/>
          <w:color w:val="auto"/>
          <w:sz w:val="24"/>
          <w:szCs w:val="24"/>
          <w:highlight w:val="none"/>
          <w:lang w:val="en-US" w:eastAsia="zh-CN"/>
        </w:rPr>
        <w:t>5.3.9.最大脉冲透视电流：≥30mA；</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【评审指标18】</w:t>
      </w:r>
      <w:r>
        <w:rPr>
          <w:rFonts w:hint="eastAsia" w:ascii="宋体" w:hAnsi="宋体" w:eastAsia="宋体" w:cs="宋体"/>
          <w:b w:val="0"/>
          <w:bCs/>
          <w:color w:val="auto"/>
          <w:sz w:val="24"/>
          <w:szCs w:val="24"/>
          <w:highlight w:val="none"/>
          <w:lang w:val="en-US" w:eastAsia="zh-CN"/>
        </w:rPr>
        <w:t>5.3.10.具备AEC自动曝光功能；</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5.4.平板探测器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【评审指标19】</w:t>
      </w:r>
      <w:r>
        <w:rPr>
          <w:rFonts w:hint="eastAsia" w:ascii="宋体" w:hAnsi="宋体" w:eastAsia="宋体" w:cs="宋体"/>
          <w:b w:val="0"/>
          <w:bCs/>
          <w:color w:val="auto"/>
          <w:sz w:val="24"/>
          <w:szCs w:val="24"/>
          <w:highlight w:val="none"/>
          <w:lang w:val="en-US" w:eastAsia="zh-CN"/>
        </w:rPr>
        <w:t>5.4.1.类型：动态平板探测器，无线可移动；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【评审指标20】</w:t>
      </w:r>
      <w:r>
        <w:rPr>
          <w:rFonts w:hint="eastAsia" w:ascii="宋体" w:hAnsi="宋体" w:eastAsia="宋体" w:cs="宋体"/>
          <w:b w:val="0"/>
          <w:bCs/>
          <w:color w:val="auto"/>
          <w:sz w:val="24"/>
          <w:szCs w:val="24"/>
          <w:highlight w:val="none"/>
          <w:lang w:val="en-US" w:eastAsia="zh-CN"/>
        </w:rPr>
        <w:t>5.4.2.材质：非晶硅碘化铯；</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【评审指标21】</w:t>
      </w:r>
      <w:r>
        <w:rPr>
          <w:rFonts w:hint="eastAsia" w:ascii="宋体" w:hAnsi="宋体" w:eastAsia="宋体" w:cs="宋体"/>
          <w:b w:val="0"/>
          <w:bCs/>
          <w:color w:val="auto"/>
          <w:sz w:val="24"/>
          <w:szCs w:val="24"/>
          <w:highlight w:val="none"/>
          <w:lang w:val="en-US" w:eastAsia="zh-CN"/>
        </w:rPr>
        <w:t>5.4.3.成像尺寸：≥43×43cm；</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【评审指标22】</w:t>
      </w:r>
      <w:r>
        <w:rPr>
          <w:rFonts w:hint="eastAsia" w:ascii="宋体" w:hAnsi="宋体" w:eastAsia="宋体" w:cs="宋体"/>
          <w:b w:val="0"/>
          <w:bCs/>
          <w:color w:val="auto"/>
          <w:sz w:val="24"/>
          <w:szCs w:val="24"/>
          <w:highlight w:val="none"/>
          <w:lang w:val="en-US" w:eastAsia="zh-CN"/>
        </w:rPr>
        <w:t>5.4.4.像素矩阵：≥3072×3072；</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【评审指标23】</w:t>
      </w:r>
      <w:r>
        <w:rPr>
          <w:rFonts w:hint="eastAsia" w:ascii="宋体" w:hAnsi="宋体" w:eastAsia="宋体" w:cs="宋体"/>
          <w:b w:val="0"/>
          <w:bCs/>
          <w:color w:val="auto"/>
          <w:sz w:val="24"/>
          <w:szCs w:val="24"/>
          <w:highlight w:val="none"/>
          <w:lang w:val="en-US" w:eastAsia="zh-CN"/>
        </w:rPr>
        <w:t>5.4.5.像素尺寸：≤139um；</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【评审指标24】</w:t>
      </w:r>
      <w:r>
        <w:rPr>
          <w:rFonts w:hint="eastAsia" w:ascii="宋体" w:hAnsi="宋体" w:eastAsia="宋体" w:cs="宋体"/>
          <w:b w:val="0"/>
          <w:bCs/>
          <w:color w:val="auto"/>
          <w:sz w:val="24"/>
          <w:szCs w:val="24"/>
          <w:highlight w:val="none"/>
          <w:lang w:val="en-US" w:eastAsia="zh-CN"/>
        </w:rPr>
        <w:t>5.4.6.空间分辨率：≥3.7LP/mm；</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【评审指标25】</w:t>
      </w:r>
      <w:r>
        <w:rPr>
          <w:rFonts w:hint="eastAsia" w:ascii="宋体" w:hAnsi="宋体" w:eastAsia="宋体" w:cs="宋体"/>
          <w:b w:val="0"/>
          <w:bCs/>
          <w:color w:val="auto"/>
          <w:sz w:val="24"/>
          <w:szCs w:val="24"/>
          <w:highlight w:val="none"/>
          <w:lang w:val="en-US" w:eastAsia="zh-CN"/>
        </w:rPr>
        <w:t>5.4.7.动态范围：≥16bit；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5.5.机架系统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【评审指标26】</w:t>
      </w:r>
      <w:r>
        <w:rPr>
          <w:rFonts w:hint="eastAsia" w:ascii="宋体" w:hAnsi="宋体" w:eastAsia="宋体" w:cs="宋体"/>
          <w:b w:val="0"/>
          <w:bCs/>
          <w:color w:val="auto"/>
          <w:sz w:val="24"/>
          <w:szCs w:val="24"/>
          <w:highlight w:val="none"/>
          <w:lang w:val="en-US" w:eastAsia="zh-CN"/>
        </w:rPr>
        <w:t>5.5.1.床体承重：≥200kg；</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【评审指标27】</w:t>
      </w:r>
      <w:r>
        <w:rPr>
          <w:rFonts w:hint="eastAsia" w:ascii="宋体" w:hAnsi="宋体" w:eastAsia="宋体" w:cs="宋体"/>
          <w:b w:val="0"/>
          <w:bCs/>
          <w:color w:val="auto"/>
          <w:sz w:val="24"/>
          <w:szCs w:val="24"/>
          <w:highlight w:val="none"/>
          <w:lang w:val="en-US" w:eastAsia="zh-CN"/>
        </w:rPr>
        <w:t>5.5.2.床面板横向移动范围：≥±12cm；</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【评审指标28】</w:t>
      </w:r>
      <w:r>
        <w:rPr>
          <w:rFonts w:hint="eastAsia" w:ascii="宋体" w:hAnsi="宋体" w:eastAsia="宋体" w:cs="宋体"/>
          <w:b w:val="0"/>
          <w:bCs/>
          <w:color w:val="auto"/>
          <w:sz w:val="24"/>
          <w:szCs w:val="24"/>
          <w:highlight w:val="none"/>
          <w:lang w:val="en-US" w:eastAsia="zh-CN"/>
        </w:rPr>
        <w:t>5.5.3.支持摆位一键到位功能，具备床位及立位一键到位；</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【评审指标29】</w:t>
      </w:r>
      <w:r>
        <w:rPr>
          <w:rFonts w:hint="eastAsia" w:ascii="宋体" w:hAnsi="宋体" w:eastAsia="宋体" w:cs="宋体"/>
          <w:b w:val="0"/>
          <w:bCs/>
          <w:color w:val="auto"/>
          <w:sz w:val="24"/>
          <w:szCs w:val="24"/>
          <w:highlight w:val="none"/>
          <w:lang w:val="en-US" w:eastAsia="zh-CN"/>
        </w:rPr>
        <w:t>5.5.4.最大焦片距：≥1800mm；</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【评审指标30】</w:t>
      </w:r>
      <w:r>
        <w:rPr>
          <w:rFonts w:hint="eastAsia" w:ascii="宋体" w:hAnsi="宋体" w:eastAsia="宋体" w:cs="宋体"/>
          <w:b w:val="0"/>
          <w:bCs/>
          <w:color w:val="auto"/>
          <w:sz w:val="24"/>
          <w:szCs w:val="24"/>
          <w:highlight w:val="none"/>
          <w:lang w:val="en-US" w:eastAsia="zh-CN"/>
        </w:rPr>
        <w:t>5.5.5.具有自动SID调节功能，调节范围1.1m～1.8m，全自动切换调节；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【评审指标31】</w:t>
      </w:r>
      <w:r>
        <w:rPr>
          <w:rFonts w:hint="eastAsia" w:ascii="宋体" w:hAnsi="宋体" w:eastAsia="宋体" w:cs="宋体"/>
          <w:b w:val="0"/>
          <w:bCs/>
          <w:color w:val="auto"/>
          <w:sz w:val="24"/>
          <w:szCs w:val="24"/>
          <w:highlight w:val="none"/>
          <w:lang w:val="en-US" w:eastAsia="zh-CN"/>
        </w:rPr>
        <w:t>5.5.6.床离地≤700mm；</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【评审指标32】</w:t>
      </w:r>
      <w:r>
        <w:rPr>
          <w:rFonts w:hint="eastAsia" w:ascii="宋体" w:hAnsi="宋体" w:eastAsia="宋体" w:cs="宋体"/>
          <w:b w:val="0"/>
          <w:bCs/>
          <w:color w:val="auto"/>
          <w:sz w:val="24"/>
          <w:szCs w:val="24"/>
          <w:highlight w:val="none"/>
          <w:lang w:val="en-US" w:eastAsia="zh-CN"/>
        </w:rPr>
        <w:t>5.5.7.360°无限位旋转踏板；</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5.6.图像采集功能</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【评审指标33】</w:t>
      </w:r>
      <w:r>
        <w:rPr>
          <w:rFonts w:hint="eastAsia" w:ascii="宋体" w:hAnsi="宋体" w:eastAsia="宋体" w:cs="宋体"/>
          <w:b w:val="0"/>
          <w:bCs/>
          <w:color w:val="auto"/>
          <w:sz w:val="24"/>
          <w:szCs w:val="24"/>
          <w:highlight w:val="none"/>
          <w:lang w:val="en-US" w:eastAsia="zh-CN"/>
        </w:rPr>
        <w:t>5.6.1.可实现图像透视/点片自动切换，具备摄影及透视影像采集、透视环存储、降噪控制、骨骼细节处理、连续点片及急速抓拍等功能；</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【评审指标34】</w:t>
      </w:r>
      <w:r>
        <w:rPr>
          <w:rFonts w:hint="eastAsia" w:ascii="宋体" w:hAnsi="宋体" w:eastAsia="宋体" w:cs="宋体"/>
          <w:b w:val="0"/>
          <w:bCs/>
          <w:color w:val="auto"/>
          <w:sz w:val="24"/>
          <w:szCs w:val="24"/>
          <w:highlight w:val="none"/>
          <w:lang w:val="en-US" w:eastAsia="zh-CN"/>
        </w:rPr>
        <w:t>5.6.2.支持采集过程中透视视野智能切换功能，任意视野组合；支持黑白反转图像；</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【评审指标35】</w:t>
      </w:r>
      <w:r>
        <w:rPr>
          <w:rFonts w:hint="eastAsia" w:ascii="宋体" w:hAnsi="宋体" w:eastAsia="宋体" w:cs="宋体"/>
          <w:b w:val="0"/>
          <w:bCs/>
          <w:color w:val="auto"/>
          <w:sz w:val="24"/>
          <w:szCs w:val="24"/>
          <w:highlight w:val="none"/>
          <w:lang w:val="en-US" w:eastAsia="zh-CN"/>
        </w:rPr>
        <w:t>▲5.6.3.具备图像最优、剂量最优智能切换功能；</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【评审指标36】</w:t>
      </w:r>
      <w:r>
        <w:rPr>
          <w:rFonts w:hint="eastAsia" w:ascii="宋体" w:hAnsi="宋体" w:eastAsia="宋体" w:cs="宋体"/>
          <w:b w:val="0"/>
          <w:bCs/>
          <w:color w:val="auto"/>
          <w:sz w:val="24"/>
          <w:szCs w:val="24"/>
          <w:highlight w:val="none"/>
          <w:lang w:val="en-US" w:eastAsia="zh-CN"/>
        </w:rPr>
        <w:t>5.6.4.具备图像处理功能：</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【评审指标37】</w:t>
      </w:r>
      <w:r>
        <w:rPr>
          <w:rFonts w:hint="eastAsia" w:ascii="宋体" w:hAnsi="宋体" w:eastAsia="宋体" w:cs="宋体"/>
          <w:b w:val="0"/>
          <w:bCs/>
          <w:color w:val="auto"/>
          <w:sz w:val="24"/>
          <w:szCs w:val="24"/>
          <w:highlight w:val="none"/>
          <w:lang w:val="en-US" w:eastAsia="zh-CN"/>
        </w:rPr>
        <w:t>5.6.5.支持灰阶校正、图像锐度调整控制、图像增强处理，能够调节亮度、对比度，边缘增强、放大、局部放大、图像能上、下、左、右旋转 90/顺逆、图像测量，图像剪裁功能等功能；</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【评审指标38】</w:t>
      </w:r>
      <w:r>
        <w:rPr>
          <w:rFonts w:hint="eastAsia" w:ascii="宋体" w:hAnsi="宋体" w:eastAsia="宋体" w:cs="宋体"/>
          <w:b w:val="0"/>
          <w:bCs/>
          <w:color w:val="auto"/>
          <w:sz w:val="24"/>
          <w:szCs w:val="24"/>
          <w:highlight w:val="none"/>
          <w:lang w:val="en-US" w:eastAsia="zh-CN"/>
        </w:rPr>
        <w:t>5.6.6.动态采集图像在回放时，可进行：窗宽窗位调整，自动窗口，正反像切换，文字标注，比例尺显示，多幅显示，自动校正；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【评审指标39】</w:t>
      </w:r>
      <w:r>
        <w:rPr>
          <w:rFonts w:hint="eastAsia" w:ascii="宋体" w:hAnsi="宋体" w:eastAsia="宋体" w:cs="宋体"/>
          <w:b w:val="0"/>
          <w:bCs/>
          <w:color w:val="auto"/>
          <w:sz w:val="24"/>
          <w:szCs w:val="24"/>
          <w:highlight w:val="none"/>
          <w:lang w:val="en-US" w:eastAsia="zh-CN"/>
        </w:rPr>
        <w:t>5.6.7.采集图像电影回放，回放速度可任意可调，并可逐帧回放；</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5.7.隔室控制台</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【评审指标40】</w:t>
      </w:r>
      <w:r>
        <w:rPr>
          <w:rFonts w:hint="eastAsia" w:ascii="宋体" w:hAnsi="宋体" w:eastAsia="宋体" w:cs="宋体"/>
          <w:b w:val="0"/>
          <w:bCs/>
          <w:color w:val="auto"/>
          <w:sz w:val="24"/>
          <w:szCs w:val="24"/>
          <w:highlight w:val="none"/>
          <w:lang w:val="en-US" w:eastAsia="zh-CN"/>
        </w:rPr>
        <w:t>5.7.1.液晶显示屏：≥2M专用医用显示器，实时显示床体旋转角度及SID数值；</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【评审指标41】</w:t>
      </w:r>
      <w:r>
        <w:rPr>
          <w:rFonts w:hint="eastAsia" w:ascii="宋体" w:hAnsi="宋体" w:eastAsia="宋体" w:cs="宋体"/>
          <w:b w:val="0"/>
          <w:bCs/>
          <w:color w:val="auto"/>
          <w:sz w:val="24"/>
          <w:szCs w:val="24"/>
          <w:highlight w:val="none"/>
          <w:lang w:val="en-US" w:eastAsia="zh-CN"/>
        </w:rPr>
        <w:t>5.7.2.具备采集光野一键调节，具备镜像快捷调节；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5.8.图像采集处理系统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【评审指标42】</w:t>
      </w:r>
      <w:r>
        <w:rPr>
          <w:rFonts w:hint="eastAsia" w:ascii="宋体" w:hAnsi="宋体" w:eastAsia="宋体" w:cs="宋体"/>
          <w:b w:val="0"/>
          <w:bCs/>
          <w:color w:val="auto"/>
          <w:sz w:val="24"/>
          <w:szCs w:val="24"/>
          <w:highlight w:val="none"/>
          <w:lang w:val="en-US" w:eastAsia="zh-CN"/>
        </w:rPr>
        <w:t>5.8.1.电脑主机：采用专业工控机；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【评审指标43】</w:t>
      </w:r>
      <w:r>
        <w:rPr>
          <w:rFonts w:hint="eastAsia" w:ascii="宋体" w:hAnsi="宋体" w:eastAsia="宋体" w:cs="宋体"/>
          <w:b w:val="0"/>
          <w:bCs/>
          <w:color w:val="auto"/>
          <w:sz w:val="24"/>
          <w:szCs w:val="24"/>
          <w:highlight w:val="none"/>
          <w:lang w:val="en-US" w:eastAsia="zh-CN"/>
        </w:rPr>
        <w:t>5.8.2.显示器：≥2个，提供2M或以上医用专显及彩色显示器；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【评审指标44】</w:t>
      </w:r>
      <w:r>
        <w:rPr>
          <w:rFonts w:hint="eastAsia" w:ascii="宋体" w:hAnsi="宋体" w:eastAsia="宋体" w:cs="宋体"/>
          <w:b w:val="0"/>
          <w:bCs/>
          <w:color w:val="auto"/>
          <w:sz w:val="24"/>
          <w:szCs w:val="24"/>
          <w:highlight w:val="none"/>
          <w:lang w:val="en-US" w:eastAsia="zh-CN"/>
        </w:rPr>
        <w:t>5.8.3.具备标准 DICOM3.0打印功能，可实现图像数据打印、存储、传输和获取等功能。</w:t>
      </w:r>
    </w:p>
    <w:p>
      <w:pPr>
        <w:pStyle w:val="19"/>
        <w:keepNext w:val="0"/>
        <w:keepLines w:val="0"/>
        <w:pageBreakBefore w:val="0"/>
        <w:widowControl/>
        <w:kinsoku/>
        <w:wordWrap/>
        <w:overflowPunct/>
        <w:topLinePunct w:val="0"/>
        <w:autoSpaceDE/>
        <w:autoSpaceDN/>
        <w:bidi w:val="0"/>
        <w:adjustRightInd/>
        <w:snapToGrid/>
        <w:spacing w:before="313" w:beforeLines="100" w:line="360" w:lineRule="exact"/>
        <w:ind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品目号2</w:t>
      </w:r>
      <w:r>
        <w:rPr>
          <w:rFonts w:hint="eastAsia" w:ascii="宋体" w:hAnsi="宋体" w:eastAsia="宋体" w:cs="宋体"/>
          <w:b/>
          <w:color w:val="auto"/>
          <w:sz w:val="24"/>
          <w:szCs w:val="24"/>
          <w:highlight w:val="none"/>
        </w:rPr>
        <w:t>数字化双板X线（DR）机</w:t>
      </w:r>
    </w:p>
    <w:p>
      <w:pPr>
        <w:pStyle w:val="19"/>
        <w:keepNext w:val="0"/>
        <w:keepLines w:val="0"/>
        <w:pageBreakBefore w:val="0"/>
        <w:kinsoku/>
        <w:wordWrap/>
        <w:overflowPunct/>
        <w:topLinePunct w:val="0"/>
        <w:autoSpaceDN/>
        <w:bidi w:val="0"/>
        <w:spacing w:after="150" w:line="360" w:lineRule="exact"/>
        <w:ind w:firstLine="482"/>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kern w:val="2"/>
          <w:sz w:val="24"/>
          <w:szCs w:val="24"/>
          <w:highlight w:val="none"/>
          <w:lang w:val="en-US" w:eastAsia="zh-CN" w:bidi="ar-SA"/>
        </w:rPr>
        <w:t>主要</w:t>
      </w:r>
      <w:r>
        <w:rPr>
          <w:rFonts w:hint="eastAsia" w:ascii="宋体" w:hAnsi="宋体" w:eastAsia="宋体" w:cs="宋体"/>
          <w:b/>
          <w:color w:val="auto"/>
          <w:sz w:val="24"/>
          <w:szCs w:val="24"/>
          <w:highlight w:val="none"/>
        </w:rPr>
        <w:t>技术参数要求如下：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5.1.X射线高频高压发生器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【评审指标45】</w:t>
      </w:r>
      <w:r>
        <w:rPr>
          <w:rFonts w:hint="eastAsia" w:ascii="宋体" w:hAnsi="宋体" w:eastAsia="宋体" w:cs="宋体"/>
          <w:color w:val="auto"/>
          <w:sz w:val="24"/>
          <w:szCs w:val="24"/>
          <w:highlight w:val="none"/>
          <w:lang w:val="en-US" w:eastAsia="zh-CN"/>
        </w:rPr>
        <w:t>5.1.1.最大功率≥65kW；</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【评审指标46】</w:t>
      </w:r>
      <w:r>
        <w:rPr>
          <w:rFonts w:hint="eastAsia" w:ascii="宋体" w:hAnsi="宋体" w:eastAsia="宋体" w:cs="宋体"/>
          <w:color w:val="auto"/>
          <w:sz w:val="24"/>
          <w:szCs w:val="24"/>
          <w:highlight w:val="none"/>
          <w:lang w:val="en-US" w:eastAsia="zh-CN"/>
        </w:rPr>
        <w:t>5.1.2.最大逆变频率≥240kHz；</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【评审指标47】</w:t>
      </w:r>
      <w:r>
        <w:rPr>
          <w:rFonts w:hint="eastAsia" w:ascii="宋体" w:hAnsi="宋体" w:eastAsia="宋体" w:cs="宋体"/>
          <w:color w:val="auto"/>
          <w:sz w:val="24"/>
          <w:szCs w:val="24"/>
          <w:highlight w:val="none"/>
          <w:lang w:val="en-US" w:eastAsia="zh-CN"/>
        </w:rPr>
        <w:t>5.1.3.最短曝光时间≤1ms；</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【评审指标48】</w:t>
      </w:r>
      <w:r>
        <w:rPr>
          <w:rFonts w:hint="eastAsia" w:ascii="宋体" w:hAnsi="宋体" w:eastAsia="宋体" w:cs="宋体"/>
          <w:color w:val="auto"/>
          <w:sz w:val="24"/>
          <w:szCs w:val="24"/>
          <w:highlight w:val="none"/>
          <w:lang w:val="en-US" w:eastAsia="zh-CN"/>
        </w:rPr>
        <w:t>5.1.4.具备自动曝光量控制功能；</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【评审指标49】</w:t>
      </w:r>
      <w:r>
        <w:rPr>
          <w:rFonts w:hint="eastAsia" w:ascii="宋体" w:hAnsi="宋体" w:eastAsia="宋体" w:cs="宋体"/>
          <w:color w:val="auto"/>
          <w:sz w:val="24"/>
          <w:szCs w:val="24"/>
          <w:highlight w:val="none"/>
          <w:lang w:val="en-US" w:eastAsia="zh-CN"/>
        </w:rPr>
        <w:t>5.1.5.X射线管电压范围：40kv～150kv；</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【评审指标50】</w:t>
      </w:r>
      <w:r>
        <w:rPr>
          <w:rFonts w:hint="eastAsia" w:ascii="宋体" w:hAnsi="宋体" w:eastAsia="宋体" w:cs="宋体"/>
          <w:color w:val="auto"/>
          <w:sz w:val="24"/>
          <w:szCs w:val="24"/>
          <w:highlight w:val="none"/>
          <w:lang w:val="en-US" w:eastAsia="zh-CN"/>
        </w:rPr>
        <w:t>5.1.6.摄影最小管电流≤10mA；摄影最大管电流≥800mA；</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【评审指标51】</w:t>
      </w:r>
      <w:r>
        <w:rPr>
          <w:rFonts w:hint="eastAsia" w:ascii="宋体" w:hAnsi="宋体" w:eastAsia="宋体" w:cs="宋体"/>
          <w:color w:val="auto"/>
          <w:sz w:val="24"/>
          <w:szCs w:val="24"/>
          <w:highlight w:val="none"/>
          <w:lang w:val="en-US" w:eastAsia="zh-CN"/>
        </w:rPr>
        <w:t>5.1.7.摄影最小电流时间积≤0.1mAs；摄影最大电流时间积≥800mAs；</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5.2.X线球管及组件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【评审指标52】</w:t>
      </w:r>
      <w:r>
        <w:rPr>
          <w:rFonts w:hint="eastAsia" w:ascii="宋体" w:hAnsi="宋体" w:eastAsia="宋体" w:cs="宋体"/>
          <w:color w:val="auto"/>
          <w:sz w:val="24"/>
          <w:szCs w:val="24"/>
          <w:highlight w:val="none"/>
          <w:lang w:val="en-US" w:eastAsia="zh-CN"/>
        </w:rPr>
        <w:t>5.2.1.球管焦点：小焦点≤0.6mm，大焦点≤1.2mm；</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【评审指标53】</w:t>
      </w:r>
      <w:r>
        <w:rPr>
          <w:rFonts w:hint="eastAsia" w:ascii="宋体" w:hAnsi="宋体" w:eastAsia="宋体" w:cs="宋体"/>
          <w:color w:val="auto"/>
          <w:sz w:val="24"/>
          <w:szCs w:val="24"/>
          <w:highlight w:val="none"/>
          <w:lang w:val="en-US" w:eastAsia="zh-CN"/>
        </w:rPr>
        <w:t>5.2.2.焦点功率：小焦点≥27kw，大焦点≥75kw；</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【评审指标54】</w:t>
      </w:r>
      <w:r>
        <w:rPr>
          <w:rFonts w:hint="eastAsia" w:ascii="宋体" w:hAnsi="宋体" w:eastAsia="宋体" w:cs="宋体"/>
          <w:color w:val="auto"/>
          <w:sz w:val="24"/>
          <w:szCs w:val="24"/>
          <w:highlight w:val="none"/>
          <w:lang w:val="en-US" w:eastAsia="zh-CN"/>
        </w:rPr>
        <w:t>5.2.3.阳极热容量≥300kHu；</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5.3.悬吊式X射线球管机架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【评审指标55】</w:t>
      </w:r>
      <w:r>
        <w:rPr>
          <w:rFonts w:hint="eastAsia" w:ascii="宋体" w:hAnsi="宋体" w:eastAsia="宋体" w:cs="宋体"/>
          <w:color w:val="auto"/>
          <w:sz w:val="24"/>
          <w:szCs w:val="24"/>
          <w:highlight w:val="none"/>
          <w:lang w:val="en-US" w:eastAsia="zh-CN"/>
        </w:rPr>
        <w:t>5.3.1.悬吊式X射线球管支架，可水平面纵、横向、垂直方向；围绕水平轴、垂直轴旋转；</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【评审指标56】</w:t>
      </w:r>
      <w:r>
        <w:rPr>
          <w:rFonts w:hint="eastAsia" w:ascii="宋体" w:hAnsi="宋体" w:eastAsia="宋体" w:cs="宋体"/>
          <w:color w:val="auto"/>
          <w:sz w:val="24"/>
          <w:szCs w:val="24"/>
          <w:highlight w:val="none"/>
          <w:lang w:val="en-US" w:eastAsia="zh-CN"/>
        </w:rPr>
        <w:t>5.3.2.X射线球管运动范围：水平面X轴≥200cm，水平面Y轴≥180cm,垂直方向升降≥120cm；</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【评审指标57】</w:t>
      </w:r>
      <w:r>
        <w:rPr>
          <w:rFonts w:hint="eastAsia" w:ascii="宋体" w:hAnsi="宋体" w:eastAsia="宋体" w:cs="宋体"/>
          <w:color w:val="auto"/>
          <w:sz w:val="24"/>
          <w:szCs w:val="24"/>
          <w:highlight w:val="none"/>
          <w:lang w:val="en-US" w:eastAsia="zh-CN"/>
        </w:rPr>
        <w:t>5.3.3.X射线球管组件旋转运动范围：围绕垂直轴旋转运动范围≥±150°；围绕水平轴旋转运动范围≥±170°；</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【评审指标58】</w:t>
      </w:r>
      <w:r>
        <w:rPr>
          <w:rFonts w:hint="eastAsia" w:ascii="宋体" w:hAnsi="宋体" w:eastAsia="宋体" w:cs="宋体"/>
          <w:color w:val="auto"/>
          <w:sz w:val="24"/>
          <w:szCs w:val="24"/>
          <w:highlight w:val="none"/>
          <w:lang w:val="en-US" w:eastAsia="zh-CN"/>
        </w:rPr>
        <w:t>5.3.4.悬吊X射线球管具备自动对中、自动跟踪功能；</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【评审指标59】</w:t>
      </w:r>
      <w:r>
        <w:rPr>
          <w:rFonts w:hint="eastAsia" w:ascii="宋体" w:hAnsi="宋体" w:eastAsia="宋体" w:cs="宋体"/>
          <w:color w:val="auto"/>
          <w:sz w:val="24"/>
          <w:szCs w:val="24"/>
          <w:highlight w:val="none"/>
          <w:lang w:val="en-US" w:eastAsia="zh-CN"/>
        </w:rPr>
        <w:t>5.3.5.X射线球管端近台操作控制，彩色触摸屏，尺寸≥10英寸；</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【评审指标60】</w:t>
      </w:r>
      <w:r>
        <w:rPr>
          <w:rFonts w:hint="eastAsia" w:ascii="宋体" w:hAnsi="宋体" w:eastAsia="宋体" w:cs="宋体"/>
          <w:color w:val="auto"/>
          <w:sz w:val="24"/>
          <w:szCs w:val="24"/>
          <w:highlight w:val="none"/>
          <w:lang w:val="en-US" w:eastAsia="zh-CN"/>
        </w:rPr>
        <w:t>5.3.6.X射线球管端状态指示灯可指示：机架运动、曝光、设备故障、紧急制动等状态；</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【评审指标61】</w:t>
      </w:r>
      <w:r>
        <w:rPr>
          <w:rFonts w:hint="eastAsia" w:ascii="宋体" w:hAnsi="宋体" w:eastAsia="宋体" w:cs="宋体"/>
          <w:color w:val="auto"/>
          <w:sz w:val="24"/>
          <w:szCs w:val="24"/>
          <w:highlight w:val="none"/>
          <w:lang w:val="en-US" w:eastAsia="zh-CN"/>
        </w:rPr>
        <w:t>5.3.7.支持远程遥控控制，具备一键到位，可以控制胸片架升降、束光器视野、指示灯控制及自动跟踪等功能；</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5.4.X射线束光器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【评审指标62】</w:t>
      </w:r>
      <w:r>
        <w:rPr>
          <w:rFonts w:hint="eastAsia" w:ascii="宋体" w:hAnsi="宋体" w:eastAsia="宋体" w:cs="宋体"/>
          <w:color w:val="auto"/>
          <w:sz w:val="24"/>
          <w:szCs w:val="24"/>
          <w:highlight w:val="none"/>
          <w:lang w:val="en-US" w:eastAsia="zh-CN"/>
        </w:rPr>
        <w:t>5.4.1.射线野控制模式：具备手动电动一体化，可手动调节投照视野方式以及根据预设自动控制投照视野方式；</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【评审指标63】</w:t>
      </w:r>
      <w:r>
        <w:rPr>
          <w:rFonts w:hint="eastAsia" w:ascii="宋体" w:hAnsi="宋体" w:eastAsia="宋体" w:cs="宋体"/>
          <w:color w:val="auto"/>
          <w:sz w:val="24"/>
          <w:szCs w:val="24"/>
          <w:highlight w:val="none"/>
          <w:lang w:val="en-US" w:eastAsia="zh-CN"/>
        </w:rPr>
        <w:t>5.4.2.束光器内置多片可供组合附加滤过片，可以组成多档位滤过板；</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5.5.数字平板探测器，数量2块；</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【评审指标64】</w:t>
      </w:r>
      <w:r>
        <w:rPr>
          <w:rFonts w:hint="eastAsia" w:ascii="宋体" w:hAnsi="宋体" w:eastAsia="宋体" w:cs="宋体"/>
          <w:color w:val="auto"/>
          <w:sz w:val="24"/>
          <w:szCs w:val="24"/>
          <w:highlight w:val="none"/>
          <w:lang w:val="en-US" w:eastAsia="zh-CN"/>
        </w:rPr>
        <w:t>5.5.1.探测器材料：非晶硅碘化铯；</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【评审指标65】</w:t>
      </w:r>
      <w:r>
        <w:rPr>
          <w:rFonts w:hint="eastAsia" w:ascii="宋体" w:hAnsi="宋体" w:eastAsia="宋体" w:cs="宋体"/>
          <w:color w:val="auto"/>
          <w:sz w:val="24"/>
          <w:szCs w:val="24"/>
          <w:highlight w:val="none"/>
          <w:lang w:val="en-US" w:eastAsia="zh-CN"/>
        </w:rPr>
        <w:t>5.5.2.探测器成像规格≥43cmX 43cm；</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【评审指标66】</w:t>
      </w:r>
      <w:r>
        <w:rPr>
          <w:rFonts w:hint="eastAsia" w:ascii="宋体" w:hAnsi="宋体" w:eastAsia="宋体" w:cs="宋体"/>
          <w:color w:val="auto"/>
          <w:sz w:val="24"/>
          <w:szCs w:val="24"/>
          <w:highlight w:val="none"/>
          <w:lang w:val="en-US" w:eastAsia="zh-CN"/>
        </w:rPr>
        <w:t>▲5.5.3.探测器像素尺寸≤100微米，像素矩阵≥4200 X 4200；</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【评审指标67】</w:t>
      </w:r>
      <w:r>
        <w:rPr>
          <w:rFonts w:hint="eastAsia" w:ascii="宋体" w:hAnsi="宋体" w:eastAsia="宋体" w:cs="宋体"/>
          <w:color w:val="auto"/>
          <w:sz w:val="24"/>
          <w:szCs w:val="24"/>
          <w:highlight w:val="none"/>
          <w:lang w:val="en-US" w:eastAsia="zh-CN"/>
        </w:rPr>
        <w:t>▲5.5.4.最大空间分辨率≥5.0LP/mm；</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【评审指标68】</w:t>
      </w:r>
      <w:r>
        <w:rPr>
          <w:rFonts w:hint="eastAsia" w:ascii="宋体" w:hAnsi="宋体" w:eastAsia="宋体" w:cs="宋体"/>
          <w:color w:val="auto"/>
          <w:sz w:val="24"/>
          <w:szCs w:val="24"/>
          <w:highlight w:val="none"/>
          <w:lang w:val="en-US" w:eastAsia="zh-CN"/>
        </w:rPr>
        <w:t>5.5.5.采集灰阶范围≥16bit；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【评审指标69】</w:t>
      </w:r>
      <w:r>
        <w:rPr>
          <w:rFonts w:hint="eastAsia" w:ascii="宋体" w:hAnsi="宋体" w:eastAsia="宋体" w:cs="宋体"/>
          <w:color w:val="auto"/>
          <w:sz w:val="24"/>
          <w:szCs w:val="24"/>
          <w:highlight w:val="none"/>
          <w:lang w:val="en-US" w:eastAsia="zh-CN"/>
        </w:rPr>
        <w:t>5.5.6.</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DQE≥68%；</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5.6电动可升降摄影床</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【评审指标70】</w:t>
      </w:r>
      <w:r>
        <w:rPr>
          <w:rFonts w:hint="eastAsia" w:ascii="宋体" w:hAnsi="宋体" w:eastAsia="宋体" w:cs="宋体"/>
          <w:color w:val="auto"/>
          <w:sz w:val="24"/>
          <w:szCs w:val="24"/>
          <w:highlight w:val="none"/>
          <w:lang w:val="en-US" w:eastAsia="zh-CN"/>
        </w:rPr>
        <w:t>▲5.6.1.床面水平横向移动≥±15cm；</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【评审指标71】</w:t>
      </w:r>
      <w:r>
        <w:rPr>
          <w:rFonts w:hint="eastAsia" w:ascii="宋体" w:hAnsi="宋体" w:eastAsia="宋体" w:cs="宋体"/>
          <w:color w:val="auto"/>
          <w:sz w:val="24"/>
          <w:szCs w:val="24"/>
          <w:highlight w:val="none"/>
          <w:lang w:val="en-US" w:eastAsia="zh-CN"/>
        </w:rPr>
        <w:t>5.6.2.床面水平纵向移动≥±38cm；</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【评审指标72】</w:t>
      </w:r>
      <w:r>
        <w:rPr>
          <w:rFonts w:hint="eastAsia" w:ascii="宋体" w:hAnsi="宋体" w:eastAsia="宋体" w:cs="宋体"/>
          <w:color w:val="auto"/>
          <w:sz w:val="24"/>
          <w:szCs w:val="24"/>
          <w:highlight w:val="none"/>
          <w:lang w:val="en-US" w:eastAsia="zh-CN"/>
        </w:rPr>
        <w:t>5.6.3.电动升降范围 55cm～83cm；</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【评审指标73】</w:t>
      </w:r>
      <w:r>
        <w:rPr>
          <w:rFonts w:hint="eastAsia" w:ascii="宋体" w:hAnsi="宋体" w:eastAsia="宋体" w:cs="宋体"/>
          <w:color w:val="auto"/>
          <w:sz w:val="24"/>
          <w:szCs w:val="24"/>
          <w:highlight w:val="none"/>
          <w:lang w:val="en-US" w:eastAsia="zh-CN"/>
        </w:rPr>
        <w:t>5.6.4.脚踏式控制床面运动；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【评审指标74】</w:t>
      </w:r>
      <w:r>
        <w:rPr>
          <w:rFonts w:hint="eastAsia" w:ascii="宋体" w:hAnsi="宋体" w:eastAsia="宋体" w:cs="宋体"/>
          <w:color w:val="auto"/>
          <w:sz w:val="24"/>
          <w:szCs w:val="24"/>
          <w:highlight w:val="none"/>
          <w:lang w:val="en-US" w:eastAsia="zh-CN"/>
        </w:rPr>
        <w:t>▲5.6.5.床面最大承重≥270KG；</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5.7.胸片架装置</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【评审指标75】</w:t>
      </w:r>
      <w:r>
        <w:rPr>
          <w:rFonts w:hint="eastAsia" w:ascii="宋体" w:hAnsi="宋体" w:eastAsia="宋体" w:cs="宋体"/>
          <w:color w:val="auto"/>
          <w:sz w:val="24"/>
          <w:szCs w:val="24"/>
          <w:highlight w:val="none"/>
          <w:lang w:val="en-US" w:eastAsia="zh-CN"/>
        </w:rPr>
        <w:t>5.7.1.探测器垂直移动范围≥145厘米；</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【评审指标76】</w:t>
      </w:r>
      <w:r>
        <w:rPr>
          <w:rFonts w:hint="eastAsia" w:ascii="宋体" w:hAnsi="宋体" w:eastAsia="宋体" w:cs="宋体"/>
          <w:color w:val="auto"/>
          <w:sz w:val="24"/>
          <w:szCs w:val="24"/>
          <w:highlight w:val="none"/>
          <w:lang w:val="en-US" w:eastAsia="zh-CN"/>
        </w:rPr>
        <w:t>5.7.2.具备电离室自动曝光；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【评审指标77】</w:t>
      </w:r>
      <w:r>
        <w:rPr>
          <w:rFonts w:hint="eastAsia" w:ascii="宋体" w:hAnsi="宋体" w:eastAsia="宋体" w:cs="宋体"/>
          <w:color w:val="auto"/>
          <w:sz w:val="24"/>
          <w:szCs w:val="24"/>
          <w:highlight w:val="none"/>
          <w:lang w:val="en-US" w:eastAsia="zh-CN"/>
        </w:rPr>
        <w:t>5.7.3.配备可更换滤线栅装置，滤线栅栅密度≥40LP/cm，栅格比≥10:1，摄影焦距（SID）：100cm～180cm；</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5.8.主系统控制及图像处理系统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【评审指标78】</w:t>
      </w:r>
      <w:r>
        <w:rPr>
          <w:rFonts w:hint="eastAsia" w:ascii="宋体" w:hAnsi="宋体" w:eastAsia="宋体" w:cs="宋体"/>
          <w:color w:val="auto"/>
          <w:sz w:val="24"/>
          <w:szCs w:val="24"/>
          <w:highlight w:val="none"/>
          <w:lang w:val="en-US" w:eastAsia="zh-CN"/>
        </w:rPr>
        <w:t>5.8.1.具备触摸屏操作、键盘操作、鼠标操作等模式；</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【评审指标79】</w:t>
      </w:r>
      <w:r>
        <w:rPr>
          <w:rFonts w:hint="eastAsia" w:ascii="宋体" w:hAnsi="宋体" w:eastAsia="宋体" w:cs="宋体"/>
          <w:color w:val="auto"/>
          <w:sz w:val="24"/>
          <w:szCs w:val="24"/>
          <w:highlight w:val="none"/>
          <w:lang w:val="en-US" w:eastAsia="zh-CN"/>
        </w:rPr>
        <w:t>5.8.2.主机工作站硬盘容量≥500G，可储存图像容量≥5000幅（非压缩）；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【评审指标80】</w:t>
      </w:r>
      <w:r>
        <w:rPr>
          <w:rFonts w:hint="eastAsia" w:ascii="宋体" w:hAnsi="宋体" w:eastAsia="宋体" w:cs="宋体"/>
          <w:color w:val="auto"/>
          <w:sz w:val="24"/>
          <w:szCs w:val="24"/>
          <w:highlight w:val="none"/>
          <w:lang w:val="en-US" w:eastAsia="zh-CN"/>
        </w:rPr>
        <w:t>5.8.3.CPU主频≥2.9GHZ；</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【评审指标81】</w:t>
      </w:r>
      <w:r>
        <w:rPr>
          <w:rFonts w:hint="eastAsia" w:ascii="宋体" w:hAnsi="宋体" w:eastAsia="宋体" w:cs="宋体"/>
          <w:color w:val="auto"/>
          <w:sz w:val="24"/>
          <w:szCs w:val="24"/>
          <w:highlight w:val="none"/>
          <w:lang w:val="en-US" w:eastAsia="zh-CN"/>
        </w:rPr>
        <w:t>5.8.4.主机内存≥8GB；</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【评审指标82】</w:t>
      </w:r>
      <w:r>
        <w:rPr>
          <w:rFonts w:hint="eastAsia" w:ascii="宋体" w:hAnsi="宋体" w:eastAsia="宋体" w:cs="宋体"/>
          <w:color w:val="auto"/>
          <w:sz w:val="24"/>
          <w:szCs w:val="24"/>
          <w:highlight w:val="none"/>
          <w:lang w:val="en-US" w:eastAsia="zh-CN"/>
        </w:rPr>
        <w:t>5.8.5.监视器（LCD）尺寸≥19英寸；</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【评审指标83】</w:t>
      </w:r>
      <w:r>
        <w:rPr>
          <w:rFonts w:hint="eastAsia" w:ascii="宋体" w:hAnsi="宋体" w:eastAsia="宋体" w:cs="宋体"/>
          <w:color w:val="auto"/>
          <w:sz w:val="24"/>
          <w:szCs w:val="24"/>
          <w:highlight w:val="none"/>
          <w:lang w:val="en-US" w:eastAsia="zh-CN"/>
        </w:rPr>
        <w:t>5.8.6.接口支持：通过以太网输出DICOM-3.0格式图像,有传输、打印、存储、工作列表等功能；</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【评审指标84】</w:t>
      </w:r>
      <w:r>
        <w:rPr>
          <w:rFonts w:hint="eastAsia" w:ascii="宋体" w:hAnsi="宋体" w:eastAsia="宋体" w:cs="宋体"/>
          <w:color w:val="auto"/>
          <w:sz w:val="24"/>
          <w:szCs w:val="24"/>
          <w:highlight w:val="none"/>
          <w:lang w:val="en-US" w:eastAsia="zh-CN"/>
        </w:rPr>
        <w:t>5.8.7.具备管线增强显示处理软件以及气胸处理软件；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【评审指标85】</w:t>
      </w:r>
      <w:r>
        <w:rPr>
          <w:rFonts w:hint="eastAsia" w:ascii="宋体" w:hAnsi="宋体" w:eastAsia="宋体" w:cs="宋体"/>
          <w:color w:val="auto"/>
          <w:sz w:val="24"/>
          <w:szCs w:val="24"/>
          <w:highlight w:val="none"/>
          <w:lang w:val="en-US" w:eastAsia="zh-CN"/>
        </w:rPr>
        <w:t>5.8.8.具备骨抑制软件功能；</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【评审指标86】</w:t>
      </w:r>
      <w:r>
        <w:rPr>
          <w:rFonts w:hint="eastAsia" w:ascii="宋体" w:hAnsi="宋体" w:eastAsia="宋体" w:cs="宋体"/>
          <w:color w:val="auto"/>
          <w:sz w:val="24"/>
          <w:szCs w:val="24"/>
          <w:highlight w:val="none"/>
          <w:lang w:val="en-US" w:eastAsia="zh-CN"/>
        </w:rPr>
        <w:t>5.8.9.具备快捷体检模式，具备专业尘肺病检查模式；</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▲5.9.具备全脊柱拍照功能及自动长骨拼接功能；</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【评审指标87】</w:t>
      </w:r>
      <w:r>
        <w:rPr>
          <w:rFonts w:hint="eastAsia" w:ascii="宋体" w:hAnsi="宋体" w:eastAsia="宋体" w:cs="宋体"/>
          <w:color w:val="auto"/>
          <w:sz w:val="24"/>
          <w:szCs w:val="24"/>
          <w:highlight w:val="none"/>
          <w:lang w:val="en-US" w:eastAsia="zh-CN"/>
        </w:rPr>
        <w:t>5.9.1.系统采用全自动拼接流程，可实现在一体化控制台上全自动的完成，无需额外的图像处理工作站；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【评审指标88】</w:t>
      </w:r>
      <w:r>
        <w:rPr>
          <w:rFonts w:hint="eastAsia" w:ascii="宋体" w:hAnsi="宋体" w:eastAsia="宋体" w:cs="宋体"/>
          <w:color w:val="auto"/>
          <w:sz w:val="24"/>
          <w:szCs w:val="24"/>
          <w:highlight w:val="none"/>
          <w:lang w:val="en-US" w:eastAsia="zh-CN"/>
        </w:rPr>
        <w:t>5.9.2.系统可支持自动控制球管的倾斜角度摆动、相应的探测器位置跟踪对中，可以连续采集≥3幅影像；</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【评审指标89】</w:t>
      </w:r>
      <w:r>
        <w:rPr>
          <w:rFonts w:hint="eastAsia" w:ascii="宋体" w:hAnsi="宋体" w:eastAsia="宋体" w:cs="宋体"/>
          <w:color w:val="auto"/>
          <w:sz w:val="24"/>
          <w:szCs w:val="24"/>
          <w:highlight w:val="none"/>
          <w:lang w:val="en-US" w:eastAsia="zh-CN"/>
        </w:rPr>
        <w:t>5.9.3.系统支持一键摆位功能：具备立卧位一键切换，一键临床摆位；</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【评审指标90】</w:t>
      </w:r>
      <w:r>
        <w:rPr>
          <w:rFonts w:hint="eastAsia" w:ascii="宋体" w:hAnsi="宋体" w:eastAsia="宋体" w:cs="宋体"/>
          <w:color w:val="auto"/>
          <w:sz w:val="24"/>
          <w:szCs w:val="24"/>
          <w:highlight w:val="none"/>
          <w:lang w:val="en-US" w:eastAsia="zh-CN"/>
        </w:rPr>
        <w:t>5.9.4.具备自动计算、采集、拼接，系统可以自动探测患者，可实现全脊柱拍照，自动计算出所要采集的序列的数量，定位机架系统做好采集准备，按下曝光键，系统可全自动实现整个过程采集。</w:t>
      </w:r>
    </w:p>
    <w:p>
      <w:pPr>
        <w:pStyle w:val="19"/>
        <w:keepNext w:val="0"/>
        <w:keepLines w:val="0"/>
        <w:pageBreakBefore w:val="0"/>
        <w:widowControl/>
        <w:kinsoku/>
        <w:wordWrap/>
        <w:overflowPunct/>
        <w:topLinePunct w:val="0"/>
        <w:autoSpaceDE/>
        <w:autoSpaceDN/>
        <w:bidi w:val="0"/>
        <w:adjustRightInd/>
        <w:snapToGrid/>
        <w:spacing w:before="313" w:beforeLines="100" w:line="360" w:lineRule="exact"/>
        <w:ind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品目号3</w:t>
      </w:r>
      <w:r>
        <w:rPr>
          <w:rFonts w:hint="eastAsia" w:ascii="宋体" w:hAnsi="宋体" w:eastAsia="宋体" w:cs="宋体"/>
          <w:b/>
          <w:color w:val="auto"/>
          <w:sz w:val="24"/>
          <w:szCs w:val="24"/>
          <w:highlight w:val="none"/>
        </w:rPr>
        <w:t>乳腺钼靶X线机</w:t>
      </w:r>
    </w:p>
    <w:p>
      <w:pPr>
        <w:pStyle w:val="19"/>
        <w:keepNext w:val="0"/>
        <w:keepLines w:val="0"/>
        <w:pageBreakBefore w:val="0"/>
        <w:kinsoku/>
        <w:wordWrap/>
        <w:overflowPunct/>
        <w:topLinePunct w:val="0"/>
        <w:autoSpaceDN/>
        <w:bidi w:val="0"/>
        <w:spacing w:after="150" w:line="360" w:lineRule="exact"/>
        <w:ind w:firstLine="482"/>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kern w:val="2"/>
          <w:sz w:val="24"/>
          <w:szCs w:val="24"/>
          <w:highlight w:val="none"/>
          <w:lang w:val="en-US" w:eastAsia="zh-CN" w:bidi="ar-SA"/>
        </w:rPr>
        <w:t>主要</w:t>
      </w:r>
      <w:r>
        <w:rPr>
          <w:rFonts w:hint="eastAsia" w:ascii="宋体" w:hAnsi="宋体" w:eastAsia="宋体" w:cs="宋体"/>
          <w:b/>
          <w:color w:val="auto"/>
          <w:sz w:val="24"/>
          <w:szCs w:val="24"/>
          <w:highlight w:val="none"/>
        </w:rPr>
        <w:t>技术参数要求如下：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w:t>
      </w:r>
      <w:r>
        <w:rPr>
          <w:rFonts w:hint="eastAsia" w:ascii="宋体" w:hAnsi="宋体" w:eastAsia="宋体" w:cs="宋体"/>
          <w:b w:val="0"/>
          <w:bCs w:val="0"/>
          <w:color w:val="auto"/>
          <w:kern w:val="2"/>
          <w:sz w:val="24"/>
          <w:szCs w:val="24"/>
          <w:highlight w:val="none"/>
          <w:lang w:val="en-US" w:eastAsia="zh-CN" w:bidi="ar-SA"/>
        </w:rPr>
        <w:t>X射线球管及组件</w:t>
      </w:r>
      <w:r>
        <w:rPr>
          <w:rFonts w:hint="eastAsia" w:ascii="宋体" w:hAnsi="宋体" w:eastAsia="宋体" w:cs="宋体"/>
          <w:color w:val="auto"/>
          <w:sz w:val="24"/>
          <w:szCs w:val="24"/>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【评审指标91】</w:t>
      </w:r>
      <w:r>
        <w:rPr>
          <w:rFonts w:hint="eastAsia" w:ascii="宋体" w:hAnsi="宋体" w:eastAsia="宋体" w:cs="宋体"/>
          <w:color w:val="auto"/>
          <w:sz w:val="24"/>
          <w:szCs w:val="24"/>
          <w:highlight w:val="none"/>
          <w:lang w:val="en-US" w:eastAsia="zh-CN"/>
        </w:rPr>
        <w:t>5.1.1.阳极靶靶面材料：钨靶；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【评审指标92】</w:t>
      </w:r>
      <w:r>
        <w:rPr>
          <w:rFonts w:hint="eastAsia" w:ascii="宋体" w:hAnsi="宋体" w:eastAsia="宋体" w:cs="宋体"/>
          <w:color w:val="auto"/>
          <w:sz w:val="24"/>
          <w:szCs w:val="24"/>
          <w:highlight w:val="none"/>
          <w:lang w:val="en-US" w:eastAsia="zh-CN"/>
        </w:rPr>
        <w:t>5.1.2.球管阳极热容量：≥300KHU；</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【评审指标93】</w:t>
      </w:r>
      <w:r>
        <w:rPr>
          <w:rFonts w:hint="eastAsia" w:ascii="宋体" w:hAnsi="宋体" w:eastAsia="宋体" w:cs="宋体"/>
          <w:color w:val="auto"/>
          <w:sz w:val="24"/>
          <w:szCs w:val="24"/>
          <w:highlight w:val="none"/>
          <w:lang w:val="en-US" w:eastAsia="zh-CN"/>
        </w:rPr>
        <w:t>5.1.3.阳极靶角：≤10°（小焦点）/≤16°（大焦点）；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【评审指标94】</w:t>
      </w:r>
      <w:r>
        <w:rPr>
          <w:rFonts w:hint="eastAsia" w:ascii="宋体" w:hAnsi="宋体" w:eastAsia="宋体" w:cs="宋体"/>
          <w:color w:val="auto"/>
          <w:sz w:val="24"/>
          <w:szCs w:val="24"/>
          <w:highlight w:val="none"/>
          <w:lang w:val="en-US" w:eastAsia="zh-CN"/>
        </w:rPr>
        <w:t>5.1.4.焦点尺寸：大焦点≤0.3；小焦点≤0.1；</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5.2高压发生器：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【评审指标95】</w:t>
      </w:r>
      <w:r>
        <w:rPr>
          <w:rFonts w:hint="eastAsia" w:ascii="宋体" w:hAnsi="宋体" w:eastAsia="宋体" w:cs="宋体"/>
          <w:color w:val="auto"/>
          <w:sz w:val="24"/>
          <w:szCs w:val="24"/>
          <w:highlight w:val="none"/>
          <w:lang w:val="en-US" w:eastAsia="zh-CN"/>
        </w:rPr>
        <w:t>5.2.1.高压发生器最大功率：≥5KW；</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【评审指标96】</w:t>
      </w:r>
      <w:r>
        <w:rPr>
          <w:rFonts w:hint="eastAsia" w:ascii="宋体" w:hAnsi="宋体" w:eastAsia="宋体" w:cs="宋体"/>
          <w:color w:val="auto"/>
          <w:sz w:val="24"/>
          <w:szCs w:val="24"/>
          <w:highlight w:val="none"/>
          <w:lang w:val="en-US" w:eastAsia="zh-CN"/>
        </w:rPr>
        <w:t>5.2.2.KV最小值；≤20KV；</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【评审指标97】</w:t>
      </w:r>
      <w:r>
        <w:rPr>
          <w:rFonts w:hint="eastAsia" w:ascii="宋体" w:hAnsi="宋体" w:eastAsia="宋体" w:cs="宋体"/>
          <w:color w:val="auto"/>
          <w:sz w:val="24"/>
          <w:szCs w:val="24"/>
          <w:highlight w:val="none"/>
          <w:lang w:val="en-US" w:eastAsia="zh-CN"/>
        </w:rPr>
        <w:t>▲5.2.3.KV最大值：≥49KV；</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【评审指标98】</w:t>
      </w:r>
      <w:r>
        <w:rPr>
          <w:rFonts w:hint="eastAsia" w:ascii="宋体" w:hAnsi="宋体" w:eastAsia="宋体" w:cs="宋体"/>
          <w:color w:val="auto"/>
          <w:sz w:val="24"/>
          <w:szCs w:val="24"/>
          <w:highlight w:val="none"/>
          <w:lang w:val="en-US" w:eastAsia="zh-CN"/>
        </w:rPr>
        <w:t>▲5.2.4.mAS最小值：≤2mAs；</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w:t>
      </w:r>
      <w:r>
        <w:rPr>
          <w:rFonts w:hint="eastAsia" w:ascii="宋体" w:hAnsi="宋体" w:eastAsia="宋体" w:cs="宋体"/>
          <w:b w:val="0"/>
          <w:bCs w:val="0"/>
          <w:color w:val="auto"/>
          <w:kern w:val="2"/>
          <w:sz w:val="24"/>
          <w:szCs w:val="24"/>
          <w:highlight w:val="none"/>
          <w:lang w:val="en-US" w:eastAsia="zh-CN" w:bidi="ar-SA"/>
        </w:rPr>
        <w:t>平板探测器</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【评审指标99】</w:t>
      </w:r>
      <w:r>
        <w:rPr>
          <w:rFonts w:hint="eastAsia" w:ascii="宋体" w:hAnsi="宋体" w:eastAsia="宋体" w:cs="宋体"/>
          <w:color w:val="auto"/>
          <w:sz w:val="24"/>
          <w:szCs w:val="24"/>
          <w:highlight w:val="none"/>
          <w:lang w:val="en-US" w:eastAsia="zh-CN"/>
        </w:rPr>
        <w:t>▲ 5.3.1.乳腺摄影专用非晶硅碘化铯平板探测器；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【评审指标100】</w:t>
      </w:r>
      <w:r>
        <w:rPr>
          <w:rFonts w:hint="eastAsia" w:ascii="宋体" w:hAnsi="宋体" w:eastAsia="宋体" w:cs="宋体"/>
          <w:color w:val="auto"/>
          <w:sz w:val="24"/>
          <w:szCs w:val="24"/>
          <w:highlight w:val="none"/>
          <w:lang w:val="en-US" w:eastAsia="zh-CN"/>
        </w:rPr>
        <w:t>5.3.2.DQE≥50%；</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【评审指标101】</w:t>
      </w:r>
      <w:r>
        <w:rPr>
          <w:rFonts w:hint="eastAsia" w:ascii="宋体" w:hAnsi="宋体" w:eastAsia="宋体" w:cs="宋体"/>
          <w:color w:val="auto"/>
          <w:sz w:val="24"/>
          <w:szCs w:val="24"/>
          <w:highlight w:val="none"/>
          <w:lang w:val="en-US" w:eastAsia="zh-CN"/>
        </w:rPr>
        <w:t>5.3.3.探测器面积:＞23cm×29cm；</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【评审指标102】</w:t>
      </w:r>
      <w:r>
        <w:rPr>
          <w:rFonts w:hint="eastAsia" w:ascii="宋体" w:hAnsi="宋体" w:eastAsia="宋体" w:cs="宋体"/>
          <w:color w:val="auto"/>
          <w:sz w:val="24"/>
          <w:szCs w:val="24"/>
          <w:highlight w:val="none"/>
          <w:lang w:val="en-US" w:eastAsia="zh-CN"/>
        </w:rPr>
        <w:t>5.3.4.采集矩阵:≥2800x2300；</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【评审指标103】</w:t>
      </w:r>
      <w:r>
        <w:rPr>
          <w:rFonts w:hint="eastAsia" w:ascii="宋体" w:hAnsi="宋体" w:eastAsia="宋体" w:cs="宋体"/>
          <w:color w:val="auto"/>
          <w:sz w:val="24"/>
          <w:szCs w:val="24"/>
          <w:highlight w:val="none"/>
          <w:lang w:val="en-US" w:eastAsia="zh-CN"/>
        </w:rPr>
        <w:t>5.3.5.灰阶深度:≥14bit；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5.4.机架系统：</w:t>
      </w:r>
      <w:r>
        <w:rPr>
          <w:rFonts w:hint="eastAsia" w:ascii="宋体" w:hAnsi="宋体" w:eastAsia="宋体" w:cs="宋体"/>
          <w:color w:val="auto"/>
          <w:sz w:val="24"/>
          <w:szCs w:val="24"/>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【评审指标104】</w:t>
      </w:r>
      <w:r>
        <w:rPr>
          <w:rFonts w:hint="eastAsia" w:ascii="宋体" w:hAnsi="宋体" w:eastAsia="宋体" w:cs="宋体"/>
          <w:color w:val="auto"/>
          <w:sz w:val="24"/>
          <w:szCs w:val="24"/>
          <w:highlight w:val="none"/>
          <w:lang w:val="en-US" w:eastAsia="zh-CN"/>
        </w:rPr>
        <w:t>5.4.1.C臂升降最低点</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＜69cm；</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【评审指标105】</w:t>
      </w:r>
      <w:r>
        <w:rPr>
          <w:rFonts w:hint="eastAsia" w:ascii="宋体" w:hAnsi="宋体" w:eastAsia="宋体" w:cs="宋体"/>
          <w:color w:val="auto"/>
          <w:sz w:val="24"/>
          <w:szCs w:val="24"/>
          <w:highlight w:val="none"/>
          <w:lang w:val="en-US" w:eastAsia="zh-CN"/>
        </w:rPr>
        <w:t>5.4.2.C臂升降最高点</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＞132cm；</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【评审指标106】</w:t>
      </w:r>
      <w:r>
        <w:rPr>
          <w:rFonts w:hint="eastAsia" w:ascii="宋体" w:hAnsi="宋体" w:eastAsia="宋体" w:cs="宋体"/>
          <w:color w:val="auto"/>
          <w:sz w:val="24"/>
          <w:szCs w:val="24"/>
          <w:highlight w:val="none"/>
          <w:lang w:val="en-US" w:eastAsia="zh-CN"/>
        </w:rPr>
        <w:t>5.4.3.C臂垂直移动范围：≥65cm；</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【评审指标107】</w:t>
      </w:r>
      <w:r>
        <w:rPr>
          <w:rFonts w:hint="eastAsia" w:ascii="宋体" w:hAnsi="宋体" w:eastAsia="宋体" w:cs="宋体"/>
          <w:color w:val="auto"/>
          <w:sz w:val="24"/>
          <w:szCs w:val="24"/>
          <w:highlight w:val="none"/>
          <w:lang w:val="en-US" w:eastAsia="zh-CN"/>
        </w:rPr>
        <w:t>★5.4.4.C臂旋转范围：≥±180º；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【评审指标108】</w:t>
      </w:r>
      <w:r>
        <w:rPr>
          <w:rFonts w:hint="eastAsia" w:ascii="宋体" w:hAnsi="宋体" w:eastAsia="宋体" w:cs="宋体"/>
          <w:color w:val="auto"/>
          <w:sz w:val="24"/>
          <w:szCs w:val="24"/>
          <w:highlight w:val="none"/>
          <w:lang w:val="en-US" w:eastAsia="zh-CN"/>
        </w:rPr>
        <w:t>5.4.5.C臂摆位：具有一键摆位功能，能快速完成摆位；</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【评审指标109】</w:t>
      </w:r>
      <w:r>
        <w:rPr>
          <w:rFonts w:hint="eastAsia" w:ascii="宋体" w:hAnsi="宋体" w:eastAsia="宋体" w:cs="宋体"/>
          <w:color w:val="auto"/>
          <w:sz w:val="24"/>
          <w:szCs w:val="24"/>
          <w:highlight w:val="none"/>
          <w:lang w:val="en-US" w:eastAsia="zh-CN"/>
        </w:rPr>
        <w:t>▲5.4.6.X线焦点到影像接收器的距离（SID）≥66cm；</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5.5.曝光系统：</w:t>
      </w:r>
      <w:r>
        <w:rPr>
          <w:rFonts w:hint="eastAsia" w:ascii="宋体" w:hAnsi="宋体" w:eastAsia="宋体" w:cs="宋体"/>
          <w:color w:val="auto"/>
          <w:sz w:val="24"/>
          <w:szCs w:val="24"/>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【评审指标110】</w:t>
      </w:r>
      <w:r>
        <w:rPr>
          <w:rFonts w:hint="eastAsia" w:ascii="宋体" w:hAnsi="宋体" w:eastAsia="宋体" w:cs="宋体"/>
          <w:color w:val="auto"/>
          <w:sz w:val="24"/>
          <w:szCs w:val="24"/>
          <w:highlight w:val="none"/>
          <w:lang w:val="en-US" w:eastAsia="zh-CN"/>
        </w:rPr>
        <w:t>5.5.1.根据乳腺压迫厚度和密度，具备全自动感应调整压迫力度及速度的功能；</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【评审指标111】</w:t>
      </w:r>
      <w:r>
        <w:rPr>
          <w:rFonts w:hint="eastAsia" w:ascii="宋体" w:hAnsi="宋体" w:eastAsia="宋体" w:cs="宋体"/>
          <w:color w:val="auto"/>
          <w:sz w:val="24"/>
          <w:szCs w:val="24"/>
          <w:highlight w:val="none"/>
          <w:lang w:val="en-US" w:eastAsia="zh-CN"/>
        </w:rPr>
        <w:t>5.5.2.乳腺专用滤线栅：有效栅比：≥3.5∶1，曝光自动同步, ≥36LP/cm；</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【评审指标112】</w:t>
      </w:r>
      <w:r>
        <w:rPr>
          <w:rFonts w:hint="eastAsia" w:ascii="宋体" w:hAnsi="宋体" w:eastAsia="宋体" w:cs="宋体"/>
          <w:color w:val="auto"/>
          <w:sz w:val="24"/>
          <w:szCs w:val="24"/>
          <w:highlight w:val="none"/>
          <w:lang w:val="en-US" w:eastAsia="zh-CN"/>
        </w:rPr>
        <w:t>5.5.3.曝光后显像时间：≤10秒；</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5.6.压迫系统：具备自动智能压迫及自动解压系统，提供压迫板，显示压迫厚度和压力等功能；</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5.7.图像采集工作站</w:t>
      </w:r>
      <w:r>
        <w:rPr>
          <w:rFonts w:hint="eastAsia" w:ascii="宋体" w:hAnsi="宋体" w:eastAsia="宋体" w:cs="宋体"/>
          <w:color w:val="auto"/>
          <w:sz w:val="24"/>
          <w:szCs w:val="24"/>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【评审指标113】</w:t>
      </w:r>
      <w:r>
        <w:rPr>
          <w:rFonts w:hint="eastAsia" w:ascii="宋体" w:hAnsi="宋体" w:eastAsia="宋体" w:cs="宋体"/>
          <w:color w:val="auto"/>
          <w:sz w:val="24"/>
          <w:szCs w:val="24"/>
          <w:highlight w:val="none"/>
          <w:lang w:val="en-US" w:eastAsia="zh-CN"/>
        </w:rPr>
        <w:t>5.7.1.采集工作站硬盘:≥1TB；</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【评审指标114】</w:t>
      </w:r>
      <w:r>
        <w:rPr>
          <w:rFonts w:hint="eastAsia" w:ascii="宋体" w:hAnsi="宋体" w:eastAsia="宋体" w:cs="宋体"/>
          <w:color w:val="auto"/>
          <w:sz w:val="24"/>
          <w:szCs w:val="24"/>
          <w:highlight w:val="none"/>
          <w:lang w:val="en-US" w:eastAsia="zh-CN"/>
        </w:rPr>
        <w:t>5.7.2.采集工作站内存:≥4GB；</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【评审指标115】</w:t>
      </w:r>
      <w:r>
        <w:rPr>
          <w:rFonts w:hint="eastAsia" w:ascii="宋体" w:hAnsi="宋体" w:eastAsia="宋体" w:cs="宋体"/>
          <w:color w:val="auto"/>
          <w:sz w:val="24"/>
          <w:szCs w:val="24"/>
          <w:highlight w:val="none"/>
          <w:lang w:val="en-US" w:eastAsia="zh-CN"/>
        </w:rPr>
        <w:t>5.7.3.显示器</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≥23英寸，≥2M医用专显；</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【评审指标116】</w:t>
      </w:r>
      <w:r>
        <w:rPr>
          <w:rFonts w:hint="eastAsia" w:ascii="宋体" w:hAnsi="宋体" w:eastAsia="宋体" w:cs="宋体"/>
          <w:color w:val="auto"/>
          <w:sz w:val="24"/>
          <w:szCs w:val="24"/>
          <w:highlight w:val="none"/>
          <w:lang w:val="en-US" w:eastAsia="zh-CN"/>
        </w:rPr>
        <w:t>5.7.4.显示器分辨率:≥1920 x 1080彩色显示；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【评审指标117】</w:t>
      </w:r>
      <w:r>
        <w:rPr>
          <w:rFonts w:hint="eastAsia" w:ascii="宋体" w:hAnsi="宋体" w:eastAsia="宋体" w:cs="宋体"/>
          <w:color w:val="auto"/>
          <w:sz w:val="24"/>
          <w:szCs w:val="24"/>
          <w:highlight w:val="none"/>
          <w:lang w:val="en-US" w:eastAsia="zh-CN"/>
        </w:rPr>
        <w:t>5.7.5.具备Dicom 3.0通用数字接口；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【评审指标118】</w:t>
      </w:r>
      <w:r>
        <w:rPr>
          <w:rFonts w:hint="eastAsia" w:ascii="宋体" w:hAnsi="宋体" w:eastAsia="宋体" w:cs="宋体"/>
          <w:color w:val="auto"/>
          <w:sz w:val="24"/>
          <w:szCs w:val="24"/>
          <w:highlight w:val="none"/>
          <w:lang w:val="en-US" w:eastAsia="zh-CN"/>
        </w:rPr>
        <w:t>5.7.6.采集采集工作站可实现图像数据传输、存储、查询、打印或导出刻录（CD、DVD、USB）功能；</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【评审指标119】</w:t>
      </w:r>
      <w:r>
        <w:rPr>
          <w:rFonts w:hint="eastAsia" w:ascii="宋体" w:hAnsi="宋体" w:eastAsia="宋体" w:cs="宋体"/>
          <w:color w:val="auto"/>
          <w:sz w:val="24"/>
          <w:szCs w:val="24"/>
          <w:highlight w:val="none"/>
          <w:lang w:val="en-US" w:eastAsia="zh-CN"/>
        </w:rPr>
        <w:t xml:space="preserve">5.7.7.图像后处理具备放大、增强、反转、(距离、角度)测量、直方图、窗宽、窗位、多幅显示等，实用性好，操作简便，有各种处理及测量功能和分析软件；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【评审指标120】</w:t>
      </w:r>
      <w:r>
        <w:rPr>
          <w:rFonts w:hint="eastAsia" w:ascii="宋体" w:hAnsi="宋体" w:eastAsia="宋体" w:cs="宋体"/>
          <w:color w:val="auto"/>
          <w:sz w:val="24"/>
          <w:szCs w:val="24"/>
          <w:highlight w:val="none"/>
          <w:lang w:val="en-US" w:eastAsia="zh-CN"/>
        </w:rPr>
        <w:t>5.7.8.支持DICOM3.0、RIS、HIS接入功能，可入录和管理患者数据；</w:t>
      </w:r>
    </w:p>
    <w:p>
      <w:pPr>
        <w:pStyle w:val="19"/>
        <w:keepNext w:val="0"/>
        <w:keepLines w:val="0"/>
        <w:pageBreakBefore w:val="0"/>
        <w:kinsoku/>
        <w:wordWrap/>
        <w:overflowPunct/>
        <w:topLinePunct w:val="0"/>
        <w:autoSpaceDN/>
        <w:bidi w:val="0"/>
        <w:spacing w:after="150" w:line="360" w:lineRule="exact"/>
        <w:ind w:firstLine="482"/>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【评审指标121】</w:t>
      </w:r>
      <w:r>
        <w:rPr>
          <w:rFonts w:hint="eastAsia" w:ascii="宋体" w:hAnsi="宋体" w:eastAsia="宋体" w:cs="宋体"/>
          <w:color w:val="auto"/>
          <w:sz w:val="24"/>
          <w:szCs w:val="24"/>
          <w:highlight w:val="none"/>
          <w:lang w:val="en-US" w:eastAsia="zh-CN"/>
        </w:rPr>
        <w:t>5.7.9.具备乳腺假体植入物的处理功能。</w:t>
      </w:r>
    </w:p>
    <w:p>
      <w:pPr>
        <w:pStyle w:val="19"/>
        <w:keepNext w:val="0"/>
        <w:keepLines w:val="0"/>
        <w:pageBreakBefore w:val="0"/>
        <w:widowControl/>
        <w:kinsoku/>
        <w:wordWrap/>
        <w:overflowPunct/>
        <w:topLinePunct w:val="0"/>
        <w:autoSpaceDE/>
        <w:autoSpaceDN/>
        <w:bidi w:val="0"/>
        <w:adjustRightInd/>
        <w:snapToGrid/>
        <w:spacing w:before="313" w:beforeLines="100" w:line="360" w:lineRule="exact"/>
        <w:ind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品目号4移动DR(床旁拍片机)</w:t>
      </w:r>
    </w:p>
    <w:p>
      <w:pPr>
        <w:pStyle w:val="19"/>
        <w:keepNext w:val="0"/>
        <w:keepLines w:val="0"/>
        <w:pageBreakBefore w:val="0"/>
        <w:kinsoku/>
        <w:wordWrap/>
        <w:overflowPunct/>
        <w:topLinePunct w:val="0"/>
        <w:autoSpaceDN/>
        <w:bidi w:val="0"/>
        <w:spacing w:after="150" w:line="360" w:lineRule="exact"/>
        <w:ind w:firstLine="482"/>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kern w:val="2"/>
          <w:sz w:val="24"/>
          <w:szCs w:val="24"/>
          <w:highlight w:val="none"/>
          <w:lang w:val="en-US" w:eastAsia="zh-CN" w:bidi="ar-SA"/>
        </w:rPr>
        <w:t>主要</w:t>
      </w:r>
      <w:r>
        <w:rPr>
          <w:rFonts w:hint="eastAsia" w:ascii="宋体" w:hAnsi="宋体" w:eastAsia="宋体" w:cs="宋体"/>
          <w:b/>
          <w:color w:val="auto"/>
          <w:sz w:val="24"/>
          <w:szCs w:val="24"/>
          <w:highlight w:val="none"/>
        </w:rPr>
        <w:t>技术参数要求如下：</w:t>
      </w:r>
    </w:p>
    <w:p>
      <w:pPr>
        <w:pStyle w:val="12"/>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5.1.X射线球管及组件 </w:t>
      </w:r>
      <w:r>
        <w:rPr>
          <w:rFonts w:hint="eastAsia" w:ascii="宋体" w:hAnsi="宋体" w:eastAsia="宋体" w:cs="宋体"/>
          <w:b w:val="0"/>
          <w:bCs w:val="0"/>
          <w:color w:val="auto"/>
          <w:kern w:val="2"/>
          <w:sz w:val="24"/>
          <w:szCs w:val="24"/>
          <w:highlight w:val="none"/>
          <w:lang w:val="en-US" w:eastAsia="zh-CN" w:bidi="ar-SA"/>
        </w:rPr>
        <w:tab/>
      </w:r>
    </w:p>
    <w:p>
      <w:pPr>
        <w:pStyle w:val="12"/>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【评审指标122】</w:t>
      </w:r>
      <w:r>
        <w:rPr>
          <w:rFonts w:hint="eastAsia" w:ascii="宋体" w:hAnsi="宋体" w:eastAsia="宋体" w:cs="宋体"/>
          <w:b w:val="0"/>
          <w:bCs w:val="0"/>
          <w:color w:val="auto"/>
          <w:kern w:val="2"/>
          <w:sz w:val="24"/>
          <w:szCs w:val="24"/>
          <w:highlight w:val="none"/>
          <w:lang w:val="en-US" w:eastAsia="zh-CN" w:bidi="ar-SA"/>
        </w:rPr>
        <w:t>5.1.1.双焦点：小焦点≤0.6mm，大焦点≤1.2mm；</w:t>
      </w:r>
    </w:p>
    <w:p>
      <w:pPr>
        <w:pStyle w:val="12"/>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【评审指标123】</w:t>
      </w:r>
      <w:r>
        <w:rPr>
          <w:rFonts w:hint="eastAsia" w:ascii="宋体" w:hAnsi="宋体" w:eastAsia="宋体" w:cs="宋体"/>
          <w:b w:val="0"/>
          <w:bCs w:val="0"/>
          <w:color w:val="auto"/>
          <w:kern w:val="2"/>
          <w:sz w:val="24"/>
          <w:szCs w:val="24"/>
          <w:highlight w:val="none"/>
          <w:lang w:val="en-US" w:eastAsia="zh-CN" w:bidi="ar-SA"/>
        </w:rPr>
        <w:t>5.1.2.球管最小输出电压：≤40kV；</w:t>
      </w:r>
    </w:p>
    <w:p>
      <w:pPr>
        <w:pStyle w:val="12"/>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【评审指标124】</w:t>
      </w:r>
      <w:r>
        <w:rPr>
          <w:rFonts w:hint="eastAsia" w:ascii="宋体" w:hAnsi="宋体" w:eastAsia="宋体" w:cs="宋体"/>
          <w:b w:val="0"/>
          <w:bCs w:val="0"/>
          <w:color w:val="auto"/>
          <w:kern w:val="2"/>
          <w:sz w:val="24"/>
          <w:szCs w:val="24"/>
          <w:highlight w:val="none"/>
          <w:lang w:val="en-US" w:eastAsia="zh-CN" w:bidi="ar-SA"/>
        </w:rPr>
        <w:t>5.1.3.球管最大输出电压：≥150kV；</w:t>
      </w:r>
    </w:p>
    <w:p>
      <w:pPr>
        <w:pStyle w:val="12"/>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【评审指标125】</w:t>
      </w:r>
      <w:r>
        <w:rPr>
          <w:rFonts w:hint="eastAsia" w:ascii="宋体" w:hAnsi="宋体" w:eastAsia="宋体" w:cs="宋体"/>
          <w:b w:val="0"/>
          <w:bCs w:val="0"/>
          <w:color w:val="auto"/>
          <w:kern w:val="2"/>
          <w:sz w:val="24"/>
          <w:szCs w:val="24"/>
          <w:highlight w:val="none"/>
          <w:lang w:val="en-US" w:eastAsia="zh-CN" w:bidi="ar-SA"/>
        </w:rPr>
        <w:t>5.1.4.大焦点最大工作球管电流：≥400mA；</w:t>
      </w:r>
    </w:p>
    <w:p>
      <w:pPr>
        <w:pStyle w:val="12"/>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【评审指标126】</w:t>
      </w:r>
      <w:r>
        <w:rPr>
          <w:rFonts w:hint="eastAsia" w:ascii="宋体" w:hAnsi="宋体" w:eastAsia="宋体" w:cs="宋体"/>
          <w:b w:val="0"/>
          <w:bCs w:val="0"/>
          <w:color w:val="auto"/>
          <w:kern w:val="2"/>
          <w:sz w:val="24"/>
          <w:szCs w:val="24"/>
          <w:highlight w:val="none"/>
          <w:lang w:val="en-US" w:eastAsia="zh-CN" w:bidi="ar-SA"/>
        </w:rPr>
        <w:t>5.1.5.球管热容量：≥300kHu；</w:t>
      </w:r>
    </w:p>
    <w:p>
      <w:pPr>
        <w:pStyle w:val="12"/>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【评审指标127】</w:t>
      </w:r>
      <w:r>
        <w:rPr>
          <w:rFonts w:hint="eastAsia" w:ascii="宋体" w:hAnsi="宋体" w:eastAsia="宋体" w:cs="宋体"/>
          <w:b w:val="0"/>
          <w:bCs w:val="0"/>
          <w:color w:val="auto"/>
          <w:kern w:val="2"/>
          <w:sz w:val="24"/>
          <w:szCs w:val="24"/>
          <w:highlight w:val="none"/>
          <w:lang w:val="en-US" w:eastAsia="zh-CN" w:bidi="ar-SA"/>
        </w:rPr>
        <w:t>5.1.6.精准测量SID，X线最大照射野：≥35cm×35cm；</w:t>
      </w:r>
    </w:p>
    <w:p>
      <w:pPr>
        <w:pStyle w:val="12"/>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【评审指标128】</w:t>
      </w:r>
      <w:r>
        <w:rPr>
          <w:rFonts w:hint="eastAsia" w:ascii="宋体" w:hAnsi="宋体" w:eastAsia="宋体" w:cs="宋体"/>
          <w:b w:val="0"/>
          <w:bCs w:val="0"/>
          <w:color w:val="auto"/>
          <w:kern w:val="2"/>
          <w:sz w:val="24"/>
          <w:szCs w:val="24"/>
          <w:highlight w:val="none"/>
          <w:lang w:val="en-US" w:eastAsia="zh-CN" w:bidi="ar-SA"/>
        </w:rPr>
        <w:t>5.1.7.限束器可旋转，绕竖直轴的旋转角度≥±90°；</w:t>
      </w:r>
    </w:p>
    <w:p>
      <w:pPr>
        <w:pStyle w:val="12"/>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5.2.高频高压发生器</w:t>
      </w:r>
      <w:r>
        <w:rPr>
          <w:rFonts w:hint="eastAsia" w:ascii="宋体" w:hAnsi="宋体" w:eastAsia="宋体" w:cs="宋体"/>
          <w:b w:val="0"/>
          <w:bCs w:val="0"/>
          <w:color w:val="auto"/>
          <w:kern w:val="2"/>
          <w:sz w:val="24"/>
          <w:szCs w:val="24"/>
          <w:highlight w:val="none"/>
          <w:lang w:val="en-US" w:eastAsia="zh-CN" w:bidi="ar-SA"/>
        </w:rPr>
        <w:tab/>
      </w:r>
    </w:p>
    <w:p>
      <w:pPr>
        <w:pStyle w:val="12"/>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【评审指标129】</w:t>
      </w:r>
      <w:r>
        <w:rPr>
          <w:rFonts w:hint="eastAsia" w:ascii="宋体" w:hAnsi="宋体" w:eastAsia="宋体" w:cs="宋体"/>
          <w:b w:val="0"/>
          <w:bCs w:val="0"/>
          <w:color w:val="auto"/>
          <w:kern w:val="2"/>
          <w:sz w:val="24"/>
          <w:szCs w:val="24"/>
          <w:highlight w:val="none"/>
          <w:lang w:val="en-US" w:eastAsia="zh-CN" w:bidi="ar-SA"/>
        </w:rPr>
        <w:t>5.2.1.最大输出频率：≥400kHz；</w:t>
      </w:r>
    </w:p>
    <w:p>
      <w:pPr>
        <w:pStyle w:val="12"/>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【评审指标130】</w:t>
      </w:r>
      <w:r>
        <w:rPr>
          <w:rFonts w:hint="eastAsia" w:ascii="宋体" w:hAnsi="宋体" w:eastAsia="宋体" w:cs="宋体"/>
          <w:b w:val="0"/>
          <w:bCs w:val="0"/>
          <w:color w:val="auto"/>
          <w:kern w:val="2"/>
          <w:sz w:val="24"/>
          <w:szCs w:val="24"/>
          <w:highlight w:val="none"/>
          <w:lang w:val="en-US" w:eastAsia="zh-CN" w:bidi="ar-SA"/>
        </w:rPr>
        <w:t>5.2.2.管电压范围（KV）：40kV～150kV；</w:t>
      </w:r>
    </w:p>
    <w:p>
      <w:pPr>
        <w:pStyle w:val="12"/>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【评审指标131】</w:t>
      </w:r>
      <w:r>
        <w:rPr>
          <w:rFonts w:hint="eastAsia" w:ascii="宋体" w:hAnsi="宋体" w:eastAsia="宋体" w:cs="宋体"/>
          <w:b w:val="0"/>
          <w:bCs w:val="0"/>
          <w:color w:val="auto"/>
          <w:kern w:val="2"/>
          <w:sz w:val="24"/>
          <w:szCs w:val="24"/>
          <w:highlight w:val="none"/>
          <w:lang w:val="en-US" w:eastAsia="zh-CN" w:bidi="ar-SA"/>
        </w:rPr>
        <w:t>5.2.3.最大电流时间积(mAs):≥500mAs；</w:t>
      </w:r>
    </w:p>
    <w:p>
      <w:pPr>
        <w:pStyle w:val="12"/>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【评审指标132】</w:t>
      </w:r>
      <w:r>
        <w:rPr>
          <w:rFonts w:hint="eastAsia" w:ascii="宋体" w:hAnsi="宋体" w:eastAsia="宋体" w:cs="宋体"/>
          <w:b w:val="0"/>
          <w:bCs w:val="0"/>
          <w:color w:val="auto"/>
          <w:kern w:val="2"/>
          <w:sz w:val="24"/>
          <w:szCs w:val="24"/>
          <w:highlight w:val="none"/>
          <w:lang w:val="en-US" w:eastAsia="zh-CN" w:bidi="ar-SA"/>
        </w:rPr>
        <w:t>5.2.4.最小电流时间积(mAs): ≤1mAs；</w:t>
      </w:r>
    </w:p>
    <w:p>
      <w:pPr>
        <w:pStyle w:val="12"/>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【评审指标133】</w:t>
      </w:r>
      <w:r>
        <w:rPr>
          <w:rFonts w:hint="eastAsia" w:ascii="宋体" w:hAnsi="宋体" w:eastAsia="宋体" w:cs="宋体"/>
          <w:b w:val="0"/>
          <w:bCs w:val="0"/>
          <w:color w:val="auto"/>
          <w:kern w:val="2"/>
          <w:sz w:val="24"/>
          <w:szCs w:val="24"/>
          <w:highlight w:val="none"/>
          <w:lang w:val="en-US" w:eastAsia="zh-CN" w:bidi="ar-SA"/>
        </w:rPr>
        <w:t>▲5.2.5.最大输出功率：≥40kW；</w:t>
      </w:r>
    </w:p>
    <w:p>
      <w:pPr>
        <w:pStyle w:val="12"/>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【评审指标134】</w:t>
      </w:r>
      <w:r>
        <w:rPr>
          <w:rFonts w:hint="eastAsia" w:ascii="宋体" w:hAnsi="宋体" w:eastAsia="宋体" w:cs="宋体"/>
          <w:b w:val="0"/>
          <w:bCs w:val="0"/>
          <w:color w:val="auto"/>
          <w:kern w:val="2"/>
          <w:sz w:val="24"/>
          <w:szCs w:val="24"/>
          <w:highlight w:val="none"/>
          <w:lang w:val="en-US" w:eastAsia="zh-CN" w:bidi="ar-SA"/>
        </w:rPr>
        <w:t>5.2.6.最大管电流：≥400mA；</w:t>
      </w:r>
    </w:p>
    <w:p>
      <w:pPr>
        <w:pStyle w:val="12"/>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【评审指标135】</w:t>
      </w:r>
      <w:r>
        <w:rPr>
          <w:rFonts w:hint="eastAsia" w:ascii="宋体" w:hAnsi="宋体" w:eastAsia="宋体" w:cs="宋体"/>
          <w:b w:val="0"/>
          <w:bCs w:val="0"/>
          <w:color w:val="auto"/>
          <w:kern w:val="2"/>
          <w:sz w:val="24"/>
          <w:szCs w:val="24"/>
          <w:highlight w:val="none"/>
          <w:lang w:val="en-US" w:eastAsia="zh-CN" w:bidi="ar-SA"/>
        </w:rPr>
        <w:t>5.2.7.最短曝光时间：≤1ms；</w:t>
      </w:r>
    </w:p>
    <w:p>
      <w:pPr>
        <w:pStyle w:val="12"/>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5.3.无线平板探测器 </w:t>
      </w:r>
      <w:r>
        <w:rPr>
          <w:rFonts w:hint="eastAsia" w:ascii="宋体" w:hAnsi="宋体" w:eastAsia="宋体" w:cs="宋体"/>
          <w:b w:val="0"/>
          <w:bCs w:val="0"/>
          <w:color w:val="auto"/>
          <w:kern w:val="2"/>
          <w:sz w:val="24"/>
          <w:szCs w:val="24"/>
          <w:highlight w:val="none"/>
          <w:lang w:val="en-US" w:eastAsia="zh-CN" w:bidi="ar-SA"/>
        </w:rPr>
        <w:tab/>
      </w:r>
    </w:p>
    <w:p>
      <w:pPr>
        <w:pStyle w:val="12"/>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【评审指标136】</w:t>
      </w:r>
      <w:r>
        <w:rPr>
          <w:rFonts w:hint="eastAsia" w:ascii="宋体" w:hAnsi="宋体" w:eastAsia="宋体" w:cs="宋体"/>
          <w:b w:val="0"/>
          <w:bCs w:val="0"/>
          <w:color w:val="auto"/>
          <w:kern w:val="2"/>
          <w:sz w:val="24"/>
          <w:szCs w:val="24"/>
          <w:highlight w:val="none"/>
          <w:lang w:val="en-US" w:eastAsia="zh-CN" w:bidi="ar-SA"/>
        </w:rPr>
        <w:t>★5.3.1.平板尺寸：≥42cm x 42cm；</w:t>
      </w:r>
    </w:p>
    <w:p>
      <w:pPr>
        <w:pStyle w:val="12"/>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【评审指标137】</w:t>
      </w:r>
      <w:r>
        <w:rPr>
          <w:rFonts w:hint="eastAsia" w:ascii="宋体" w:hAnsi="宋体" w:eastAsia="宋体" w:cs="宋体"/>
          <w:b w:val="0"/>
          <w:bCs w:val="0"/>
          <w:color w:val="auto"/>
          <w:kern w:val="2"/>
          <w:sz w:val="24"/>
          <w:szCs w:val="24"/>
          <w:highlight w:val="none"/>
          <w:lang w:val="en-US" w:eastAsia="zh-CN" w:bidi="ar-SA"/>
        </w:rPr>
        <w:t>▲5.3.2.像素尺寸：≤100微米；</w:t>
      </w:r>
    </w:p>
    <w:p>
      <w:pPr>
        <w:pStyle w:val="12"/>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【评审指标138】</w:t>
      </w:r>
      <w:r>
        <w:rPr>
          <w:rFonts w:hint="eastAsia" w:ascii="宋体" w:hAnsi="宋体" w:eastAsia="宋体" w:cs="宋体"/>
          <w:b w:val="0"/>
          <w:bCs w:val="0"/>
          <w:color w:val="auto"/>
          <w:kern w:val="2"/>
          <w:sz w:val="24"/>
          <w:szCs w:val="24"/>
          <w:highlight w:val="none"/>
          <w:lang w:val="en-US" w:eastAsia="zh-CN" w:bidi="ar-SA"/>
        </w:rPr>
        <w:t xml:space="preserve">5.3.3.材质：非晶硅碘化铯；          </w:t>
      </w:r>
    </w:p>
    <w:p>
      <w:pPr>
        <w:pStyle w:val="12"/>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【评审指标139】</w:t>
      </w:r>
      <w:r>
        <w:rPr>
          <w:rFonts w:hint="eastAsia" w:ascii="宋体" w:hAnsi="宋体" w:eastAsia="宋体" w:cs="宋体"/>
          <w:b w:val="0"/>
          <w:bCs w:val="0"/>
          <w:color w:val="auto"/>
          <w:kern w:val="2"/>
          <w:sz w:val="24"/>
          <w:szCs w:val="24"/>
          <w:highlight w:val="none"/>
          <w:lang w:val="en-US" w:eastAsia="zh-CN" w:bidi="ar-SA"/>
        </w:rPr>
        <w:t xml:space="preserve">5.3.4.量子检出效率（DQE）：≥73%； </w:t>
      </w:r>
    </w:p>
    <w:p>
      <w:pPr>
        <w:pStyle w:val="12"/>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【评审指标140】</w:t>
      </w:r>
      <w:r>
        <w:rPr>
          <w:rFonts w:hint="eastAsia" w:ascii="宋体" w:hAnsi="宋体" w:eastAsia="宋体" w:cs="宋体"/>
          <w:b w:val="0"/>
          <w:bCs w:val="0"/>
          <w:color w:val="auto"/>
          <w:kern w:val="2"/>
          <w:sz w:val="24"/>
          <w:szCs w:val="24"/>
          <w:highlight w:val="none"/>
          <w:lang w:val="en-US" w:eastAsia="zh-CN" w:bidi="ar-SA"/>
        </w:rPr>
        <w:t>▲5.3.5.平板承重：≥300KG；</w:t>
      </w:r>
    </w:p>
    <w:p>
      <w:pPr>
        <w:pStyle w:val="12"/>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【评审指标141】</w:t>
      </w:r>
      <w:r>
        <w:rPr>
          <w:rFonts w:hint="eastAsia" w:ascii="宋体" w:hAnsi="宋体" w:eastAsia="宋体" w:cs="宋体"/>
          <w:b w:val="0"/>
          <w:bCs w:val="0"/>
          <w:color w:val="auto"/>
          <w:kern w:val="2"/>
          <w:sz w:val="24"/>
          <w:szCs w:val="24"/>
          <w:highlight w:val="none"/>
          <w:lang w:val="en-US" w:eastAsia="zh-CN" w:bidi="ar-SA"/>
        </w:rPr>
        <w:t>5.3.6.</w:t>
      </w:r>
      <w:r>
        <w:rPr>
          <w:rFonts w:hint="eastAsia" w:ascii="宋体" w:hAnsi="宋体" w:eastAsia="宋体" w:cs="宋体"/>
          <w:b w:val="0"/>
          <w:bCs w:val="0"/>
          <w:color w:val="auto"/>
          <w:kern w:val="2"/>
          <w:sz w:val="24"/>
          <w:szCs w:val="24"/>
          <w:highlight w:val="none"/>
          <w:lang w:val="en-US" w:eastAsia="zh-CN" w:bidi="ar-SA"/>
        </w:rPr>
        <w:tab/>
      </w:r>
      <w:r>
        <w:rPr>
          <w:rFonts w:hint="eastAsia" w:ascii="宋体" w:hAnsi="宋体" w:eastAsia="宋体" w:cs="宋体"/>
          <w:b w:val="0"/>
          <w:bCs w:val="0"/>
          <w:color w:val="auto"/>
          <w:kern w:val="2"/>
          <w:sz w:val="24"/>
          <w:szCs w:val="24"/>
          <w:highlight w:val="none"/>
          <w:lang w:val="en-US" w:eastAsia="zh-CN" w:bidi="ar-SA"/>
        </w:rPr>
        <w:t>图像预览：≤5s；</w:t>
      </w:r>
    </w:p>
    <w:p>
      <w:pPr>
        <w:pStyle w:val="12"/>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5.4.图像处理系统</w:t>
      </w:r>
      <w:r>
        <w:rPr>
          <w:rFonts w:hint="eastAsia" w:ascii="宋体" w:hAnsi="宋体" w:eastAsia="宋体" w:cs="宋体"/>
          <w:b w:val="0"/>
          <w:bCs w:val="0"/>
          <w:color w:val="auto"/>
          <w:kern w:val="2"/>
          <w:sz w:val="24"/>
          <w:szCs w:val="24"/>
          <w:highlight w:val="none"/>
          <w:lang w:val="en-US" w:eastAsia="zh-CN" w:bidi="ar-SA"/>
        </w:rPr>
        <w:tab/>
      </w:r>
    </w:p>
    <w:p>
      <w:pPr>
        <w:pStyle w:val="12"/>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【评审指标142】</w:t>
      </w:r>
      <w:r>
        <w:rPr>
          <w:rFonts w:hint="eastAsia" w:ascii="宋体" w:hAnsi="宋体" w:eastAsia="宋体" w:cs="宋体"/>
          <w:b w:val="0"/>
          <w:bCs w:val="0"/>
          <w:color w:val="auto"/>
          <w:kern w:val="2"/>
          <w:sz w:val="24"/>
          <w:szCs w:val="24"/>
          <w:highlight w:val="none"/>
          <w:lang w:val="en-US" w:eastAsia="zh-CN" w:bidi="ar-SA"/>
        </w:rPr>
        <w:t>5.4.1.原厂图像存储≥3000幅；</w:t>
      </w:r>
    </w:p>
    <w:p>
      <w:pPr>
        <w:pStyle w:val="12"/>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【评审指标143】</w:t>
      </w:r>
      <w:r>
        <w:rPr>
          <w:rFonts w:hint="eastAsia" w:ascii="宋体" w:hAnsi="宋体" w:eastAsia="宋体" w:cs="宋体"/>
          <w:b w:val="0"/>
          <w:bCs w:val="0"/>
          <w:color w:val="auto"/>
          <w:kern w:val="2"/>
          <w:sz w:val="24"/>
          <w:szCs w:val="24"/>
          <w:highlight w:val="none"/>
          <w:lang w:val="en-US" w:eastAsia="zh-CN" w:bidi="ar-SA"/>
        </w:rPr>
        <w:t>5.4.2.显示器≥19英寸触摸屏；</w:t>
      </w:r>
    </w:p>
    <w:p>
      <w:pPr>
        <w:pStyle w:val="12"/>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【评审指标144】</w:t>
      </w:r>
      <w:r>
        <w:rPr>
          <w:rFonts w:hint="eastAsia" w:ascii="宋体" w:hAnsi="宋体" w:eastAsia="宋体" w:cs="宋体"/>
          <w:b w:val="0"/>
          <w:bCs w:val="0"/>
          <w:color w:val="auto"/>
          <w:kern w:val="2"/>
          <w:sz w:val="24"/>
          <w:szCs w:val="24"/>
          <w:highlight w:val="none"/>
          <w:lang w:val="en-US" w:eastAsia="zh-CN" w:bidi="ar-SA"/>
        </w:rPr>
        <w:t>5.4.3.主机工作站硬盘容量≥500G，内存≥4G；</w:t>
      </w:r>
    </w:p>
    <w:p>
      <w:pPr>
        <w:pStyle w:val="12"/>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5.5.移动机架系统</w:t>
      </w:r>
    </w:p>
    <w:p>
      <w:pPr>
        <w:pStyle w:val="12"/>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【评审指标145】</w:t>
      </w:r>
      <w:r>
        <w:rPr>
          <w:rFonts w:hint="eastAsia" w:ascii="宋体" w:hAnsi="宋体" w:eastAsia="宋体" w:cs="宋体"/>
          <w:b w:val="0"/>
          <w:bCs w:val="0"/>
          <w:color w:val="auto"/>
          <w:kern w:val="2"/>
          <w:sz w:val="24"/>
          <w:szCs w:val="24"/>
          <w:highlight w:val="none"/>
          <w:lang w:val="en-US" w:eastAsia="zh-CN" w:bidi="ar-SA"/>
        </w:rPr>
        <w:t>▲5.5.1.球管机架为可伸缩立柱结构，可垂直升降，立柱高度可调节；</w:t>
      </w:r>
    </w:p>
    <w:p>
      <w:pPr>
        <w:pStyle w:val="12"/>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【评审指标146】</w:t>
      </w:r>
      <w:r>
        <w:rPr>
          <w:rFonts w:hint="eastAsia" w:ascii="宋体" w:hAnsi="宋体" w:eastAsia="宋体" w:cs="宋体"/>
          <w:b w:val="0"/>
          <w:bCs w:val="0"/>
          <w:color w:val="auto"/>
          <w:kern w:val="2"/>
          <w:sz w:val="24"/>
          <w:szCs w:val="24"/>
          <w:highlight w:val="none"/>
          <w:lang w:val="en-US" w:eastAsia="zh-CN" w:bidi="ar-SA"/>
        </w:rPr>
        <w:t>5.5.2.球管旋转角度：≥±180°；</w:t>
      </w:r>
    </w:p>
    <w:p>
      <w:pPr>
        <w:pStyle w:val="12"/>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【评审指标147】</w:t>
      </w:r>
      <w:r>
        <w:rPr>
          <w:rFonts w:hint="eastAsia" w:ascii="宋体" w:hAnsi="宋体" w:eastAsia="宋体" w:cs="宋体"/>
          <w:b w:val="0"/>
          <w:bCs w:val="0"/>
          <w:color w:val="auto"/>
          <w:kern w:val="2"/>
          <w:sz w:val="24"/>
          <w:szCs w:val="24"/>
          <w:highlight w:val="none"/>
          <w:lang w:val="en-US" w:eastAsia="zh-CN" w:bidi="ar-SA"/>
        </w:rPr>
        <w:t>5.5.3.球管立柱旋转范围：≥±300°；</w:t>
      </w:r>
    </w:p>
    <w:p>
      <w:pPr>
        <w:pStyle w:val="12"/>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【评审指标148】</w:t>
      </w:r>
      <w:r>
        <w:rPr>
          <w:rFonts w:hint="eastAsia" w:ascii="宋体" w:hAnsi="宋体" w:eastAsia="宋体" w:cs="宋体"/>
          <w:b w:val="0"/>
          <w:bCs w:val="0"/>
          <w:color w:val="auto"/>
          <w:kern w:val="2"/>
          <w:sz w:val="24"/>
          <w:szCs w:val="24"/>
          <w:highlight w:val="none"/>
          <w:lang w:val="en-US" w:eastAsia="zh-CN" w:bidi="ar-SA"/>
        </w:rPr>
        <w:t>5.5.4.球管焦点距离地面的最大距离：≥190cm；</w:t>
      </w:r>
    </w:p>
    <w:p>
      <w:pPr>
        <w:pStyle w:val="12"/>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【评审指标148】</w:t>
      </w:r>
      <w:r>
        <w:rPr>
          <w:rFonts w:hint="eastAsia" w:ascii="宋体" w:hAnsi="宋体" w:eastAsia="宋体" w:cs="宋体"/>
          <w:b w:val="0"/>
          <w:bCs w:val="0"/>
          <w:color w:val="auto"/>
          <w:kern w:val="2"/>
          <w:sz w:val="24"/>
          <w:szCs w:val="24"/>
          <w:highlight w:val="none"/>
          <w:lang w:val="en-US" w:eastAsia="zh-CN" w:bidi="ar-SA"/>
        </w:rPr>
        <w:t>5.5.5.球管焦点距离地面的最小距离：≤75.8cm；</w:t>
      </w:r>
    </w:p>
    <w:p>
      <w:pPr>
        <w:pStyle w:val="12"/>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【评审指标150】</w:t>
      </w:r>
      <w:r>
        <w:rPr>
          <w:rFonts w:hint="eastAsia" w:ascii="宋体" w:hAnsi="宋体" w:eastAsia="宋体" w:cs="宋体"/>
          <w:b w:val="0"/>
          <w:bCs w:val="0"/>
          <w:color w:val="auto"/>
          <w:kern w:val="2"/>
          <w:sz w:val="24"/>
          <w:szCs w:val="24"/>
          <w:highlight w:val="none"/>
          <w:lang w:val="en-US" w:eastAsia="zh-CN" w:bidi="ar-SA"/>
        </w:rPr>
        <w:t>★5.5.6.立柱降低后最低高度：≤130cm；</w:t>
      </w:r>
    </w:p>
    <w:p>
      <w:pPr>
        <w:pStyle w:val="12"/>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5.6.机械系统 </w:t>
      </w:r>
      <w:r>
        <w:rPr>
          <w:rFonts w:hint="eastAsia" w:ascii="宋体" w:hAnsi="宋体" w:eastAsia="宋体" w:cs="宋体"/>
          <w:b w:val="0"/>
          <w:bCs w:val="0"/>
          <w:color w:val="auto"/>
          <w:kern w:val="2"/>
          <w:sz w:val="24"/>
          <w:szCs w:val="24"/>
          <w:highlight w:val="none"/>
          <w:lang w:val="en-US" w:eastAsia="zh-CN" w:bidi="ar-SA"/>
        </w:rPr>
        <w:tab/>
      </w:r>
    </w:p>
    <w:p>
      <w:pPr>
        <w:pStyle w:val="12"/>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【评审指标151】</w:t>
      </w:r>
      <w:r>
        <w:rPr>
          <w:rFonts w:hint="eastAsia" w:ascii="宋体" w:hAnsi="宋体" w:eastAsia="宋体" w:cs="宋体"/>
          <w:b w:val="0"/>
          <w:bCs w:val="0"/>
          <w:color w:val="auto"/>
          <w:kern w:val="2"/>
          <w:sz w:val="24"/>
          <w:szCs w:val="24"/>
          <w:highlight w:val="none"/>
          <w:lang w:val="en-US" w:eastAsia="zh-CN" w:bidi="ar-SA"/>
        </w:rPr>
        <w:t>5.6.1.系统具备可前进、后退及旋转等动作；</w:t>
      </w:r>
    </w:p>
    <w:p>
      <w:pPr>
        <w:pStyle w:val="12"/>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【评审指标152】</w:t>
      </w:r>
      <w:r>
        <w:rPr>
          <w:rFonts w:hint="eastAsia" w:ascii="宋体" w:hAnsi="宋体" w:eastAsia="宋体" w:cs="宋体"/>
          <w:b w:val="0"/>
          <w:bCs w:val="0"/>
          <w:color w:val="auto"/>
          <w:kern w:val="2"/>
          <w:sz w:val="24"/>
          <w:szCs w:val="24"/>
          <w:highlight w:val="none"/>
          <w:lang w:val="en-US" w:eastAsia="zh-CN" w:bidi="ar-SA"/>
        </w:rPr>
        <w:t>5.6.2.具有碰撞保护功能；</w:t>
      </w:r>
    </w:p>
    <w:p>
      <w:pPr>
        <w:pStyle w:val="12"/>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【评审指标153】</w:t>
      </w:r>
      <w:r>
        <w:rPr>
          <w:rFonts w:hint="eastAsia" w:ascii="宋体" w:hAnsi="宋体" w:eastAsia="宋体" w:cs="宋体"/>
          <w:b w:val="0"/>
          <w:bCs w:val="0"/>
          <w:color w:val="auto"/>
          <w:kern w:val="2"/>
          <w:sz w:val="24"/>
          <w:szCs w:val="24"/>
          <w:highlight w:val="none"/>
          <w:lang w:val="en-US" w:eastAsia="zh-CN" w:bidi="ar-SA"/>
        </w:rPr>
        <w:t>5.6.3.机身宽度：≤ 58cm；</w:t>
      </w:r>
    </w:p>
    <w:p>
      <w:pPr>
        <w:pStyle w:val="12"/>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【评审指标154】</w:t>
      </w:r>
      <w:r>
        <w:rPr>
          <w:rFonts w:hint="eastAsia" w:ascii="宋体" w:hAnsi="宋体" w:eastAsia="宋体" w:cs="宋体"/>
          <w:b w:val="0"/>
          <w:bCs w:val="0"/>
          <w:color w:val="auto"/>
          <w:kern w:val="2"/>
          <w:sz w:val="24"/>
          <w:szCs w:val="24"/>
          <w:highlight w:val="none"/>
          <w:lang w:val="en-US" w:eastAsia="zh-CN" w:bidi="ar-SA"/>
        </w:rPr>
        <w:t>5.6.4.最大爬坡角度：≥8°；</w:t>
      </w:r>
    </w:p>
    <w:p>
      <w:pPr>
        <w:pStyle w:val="12"/>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5.7.蓄电池及充电系统 </w:t>
      </w:r>
      <w:r>
        <w:rPr>
          <w:rFonts w:hint="eastAsia" w:ascii="宋体" w:hAnsi="宋体" w:eastAsia="宋体" w:cs="宋体"/>
          <w:b w:val="0"/>
          <w:bCs w:val="0"/>
          <w:color w:val="auto"/>
          <w:kern w:val="2"/>
          <w:sz w:val="24"/>
          <w:szCs w:val="24"/>
          <w:highlight w:val="none"/>
          <w:lang w:val="en-US" w:eastAsia="zh-CN" w:bidi="ar-SA"/>
        </w:rPr>
        <w:tab/>
      </w:r>
    </w:p>
    <w:p>
      <w:pPr>
        <w:pStyle w:val="12"/>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【评审指标155】</w:t>
      </w:r>
      <w:r>
        <w:rPr>
          <w:rFonts w:hint="eastAsia" w:ascii="宋体" w:hAnsi="宋体" w:eastAsia="宋体" w:cs="宋体"/>
          <w:b w:val="0"/>
          <w:bCs w:val="0"/>
          <w:color w:val="auto"/>
          <w:kern w:val="2"/>
          <w:sz w:val="24"/>
          <w:szCs w:val="24"/>
          <w:highlight w:val="none"/>
          <w:lang w:val="en-US" w:eastAsia="zh-CN" w:bidi="ar-SA"/>
        </w:rPr>
        <w:t>5.7.1.支持电池充电功能，具有电量指示功能；</w:t>
      </w:r>
    </w:p>
    <w:p>
      <w:pPr>
        <w:pStyle w:val="19"/>
        <w:keepNext w:val="0"/>
        <w:keepLines w:val="0"/>
        <w:pageBreakBefore w:val="0"/>
        <w:kinsoku/>
        <w:wordWrap/>
        <w:overflowPunct/>
        <w:topLinePunct w:val="0"/>
        <w:autoSpaceDN/>
        <w:bidi w:val="0"/>
        <w:spacing w:after="150" w:line="360" w:lineRule="exact"/>
        <w:ind w:firstLine="482"/>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【评审指标156】</w:t>
      </w:r>
      <w:r>
        <w:rPr>
          <w:rFonts w:hint="eastAsia" w:ascii="宋体" w:hAnsi="宋体" w:eastAsia="宋体" w:cs="宋体"/>
          <w:b w:val="0"/>
          <w:bCs w:val="0"/>
          <w:color w:val="auto"/>
          <w:kern w:val="2"/>
          <w:sz w:val="24"/>
          <w:szCs w:val="24"/>
          <w:highlight w:val="none"/>
          <w:lang w:val="en-US" w:eastAsia="zh-CN" w:bidi="ar-SA"/>
        </w:rPr>
        <w:t>5.7.2.平均系统充电时间：≤5h。</w:t>
      </w:r>
    </w:p>
    <w:p>
      <w:pPr>
        <w:pStyle w:val="19"/>
        <w:keepNext w:val="0"/>
        <w:keepLines w:val="0"/>
        <w:pageBreakBefore w:val="0"/>
        <w:kinsoku/>
        <w:wordWrap/>
        <w:overflowPunct/>
        <w:topLinePunct w:val="0"/>
        <w:autoSpaceDN/>
        <w:bidi w:val="0"/>
        <w:spacing w:line="360" w:lineRule="exact"/>
        <w:jc w:val="both"/>
        <w:textAlignment w:val="auto"/>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三、商务要求（以“★”标示的内容为不允许负偏离的实质性要求）</w:t>
      </w:r>
    </w:p>
    <w:p>
      <w:pPr>
        <w:pStyle w:val="19"/>
        <w:keepNext w:val="0"/>
        <w:keepLines w:val="0"/>
        <w:pageBreakBefore w:val="0"/>
        <w:kinsoku/>
        <w:wordWrap/>
        <w:overflowPunct/>
        <w:topLinePunct w:val="0"/>
        <w:autoSpaceDN/>
        <w:bidi w:val="0"/>
        <w:spacing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1：</w:t>
      </w:r>
    </w:p>
    <w:tbl>
      <w:tblPr>
        <w:tblStyle w:val="14"/>
        <w:tblW w:w="4994"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84"/>
        <w:gridCol w:w="1093"/>
        <w:gridCol w:w="1763"/>
        <w:gridCol w:w="65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40" w:type="pct"/>
            <w:vAlign w:val="center"/>
          </w:tcPr>
          <w:p>
            <w:pPr>
              <w:pStyle w:val="19"/>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43" w:type="pct"/>
            <w:vAlign w:val="center"/>
          </w:tcPr>
          <w:p>
            <w:pPr>
              <w:pStyle w:val="19"/>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参数性质</w:t>
            </w:r>
          </w:p>
        </w:tc>
        <w:tc>
          <w:tcPr>
            <w:tcW w:w="876" w:type="pct"/>
            <w:vAlign w:val="center"/>
          </w:tcPr>
          <w:p>
            <w:pPr>
              <w:pStyle w:val="19"/>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类型</w:t>
            </w:r>
          </w:p>
        </w:tc>
        <w:tc>
          <w:tcPr>
            <w:tcW w:w="3238" w:type="pct"/>
          </w:tcPr>
          <w:p>
            <w:pPr>
              <w:pStyle w:val="19"/>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40" w:type="pct"/>
            <w:vAlign w:val="center"/>
          </w:tcPr>
          <w:p>
            <w:pPr>
              <w:pStyle w:val="19"/>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43" w:type="pct"/>
            <w:vAlign w:val="center"/>
          </w:tcPr>
          <w:p>
            <w:pPr>
              <w:pStyle w:val="19"/>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76" w:type="pct"/>
            <w:vAlign w:val="center"/>
          </w:tcPr>
          <w:p>
            <w:pPr>
              <w:pStyle w:val="19"/>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交货时间</w:t>
            </w:r>
          </w:p>
        </w:tc>
        <w:tc>
          <w:tcPr>
            <w:tcW w:w="3238" w:type="pct"/>
          </w:tcPr>
          <w:p>
            <w:pPr>
              <w:pStyle w:val="19"/>
              <w:keepNext w:val="0"/>
              <w:keepLines w:val="0"/>
              <w:pageBreakBefore w:val="0"/>
              <w:kinsoku/>
              <w:wordWrap/>
              <w:overflowPunct/>
              <w:topLinePunct w:val="0"/>
              <w:autoSpaceDN/>
              <w:bidi w:val="0"/>
              <w:spacing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自合同签订之日起60日内交货。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40" w:type="pct"/>
            <w:vAlign w:val="center"/>
          </w:tcPr>
          <w:p>
            <w:pPr>
              <w:pStyle w:val="19"/>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43" w:type="pct"/>
            <w:vAlign w:val="center"/>
          </w:tcPr>
          <w:p>
            <w:pPr>
              <w:pStyle w:val="19"/>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76" w:type="pct"/>
            <w:vAlign w:val="center"/>
          </w:tcPr>
          <w:p>
            <w:pPr>
              <w:pStyle w:val="19"/>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w:t>
            </w:r>
          </w:p>
        </w:tc>
        <w:tc>
          <w:tcPr>
            <w:tcW w:w="3238" w:type="pct"/>
          </w:tcPr>
          <w:p>
            <w:pPr>
              <w:pStyle w:val="19"/>
              <w:keepNext w:val="0"/>
              <w:keepLines w:val="0"/>
              <w:pageBreakBefore w:val="0"/>
              <w:kinsoku/>
              <w:wordWrap/>
              <w:overflowPunct/>
              <w:topLinePunct w:val="0"/>
              <w:autoSpaceDN/>
              <w:bidi w:val="0"/>
              <w:spacing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福建省仙游县总医院</w:t>
            </w:r>
            <w:r>
              <w:rPr>
                <w:rFonts w:hint="eastAsia" w:ascii="宋体" w:hAnsi="宋体" w:eastAsia="宋体" w:cs="宋体"/>
                <w:color w:val="auto"/>
                <w:sz w:val="24"/>
                <w:szCs w:val="24"/>
                <w:highlight w:val="none"/>
              </w:rPr>
              <w:t>，具体地址按</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的指定地点交付。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40" w:type="pct"/>
            <w:vAlign w:val="center"/>
          </w:tcPr>
          <w:p>
            <w:pPr>
              <w:pStyle w:val="19"/>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43" w:type="pct"/>
            <w:vAlign w:val="center"/>
          </w:tcPr>
          <w:p>
            <w:pPr>
              <w:pStyle w:val="19"/>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76" w:type="pct"/>
            <w:vAlign w:val="center"/>
          </w:tcPr>
          <w:p>
            <w:pPr>
              <w:pStyle w:val="19"/>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交货条件</w:t>
            </w:r>
          </w:p>
        </w:tc>
        <w:tc>
          <w:tcPr>
            <w:tcW w:w="3238" w:type="pct"/>
          </w:tcPr>
          <w:p>
            <w:pPr>
              <w:pStyle w:val="19"/>
              <w:keepNext w:val="0"/>
              <w:keepLines w:val="0"/>
              <w:pageBreakBefore w:val="0"/>
              <w:kinsoku/>
              <w:wordWrap/>
              <w:overflowPunct/>
              <w:topLinePunct w:val="0"/>
              <w:autoSpaceDN/>
              <w:bidi w:val="0"/>
              <w:spacing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按照招标文件要求提供货物，经采购人验收合格后交付使用。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40" w:type="pct"/>
            <w:vAlign w:val="center"/>
          </w:tcPr>
          <w:p>
            <w:pPr>
              <w:pStyle w:val="19"/>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543" w:type="pct"/>
            <w:vAlign w:val="center"/>
          </w:tcPr>
          <w:p>
            <w:pPr>
              <w:pStyle w:val="19"/>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76" w:type="pct"/>
            <w:vAlign w:val="center"/>
          </w:tcPr>
          <w:p>
            <w:pPr>
              <w:pStyle w:val="19"/>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是否邀请投标人验收</w:t>
            </w:r>
          </w:p>
        </w:tc>
        <w:tc>
          <w:tcPr>
            <w:tcW w:w="3238" w:type="pct"/>
          </w:tcPr>
          <w:p>
            <w:pPr>
              <w:pStyle w:val="19"/>
              <w:keepNext w:val="0"/>
              <w:keepLines w:val="0"/>
              <w:pageBreakBefore w:val="0"/>
              <w:kinsoku/>
              <w:wordWrap/>
              <w:overflowPunct/>
              <w:topLinePunct w:val="0"/>
              <w:autoSpaceDN/>
              <w:bidi w:val="0"/>
              <w:spacing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40" w:type="pct"/>
            <w:vAlign w:val="center"/>
          </w:tcPr>
          <w:p>
            <w:pPr>
              <w:pStyle w:val="19"/>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43" w:type="pct"/>
            <w:vAlign w:val="center"/>
          </w:tcPr>
          <w:p>
            <w:pPr>
              <w:pStyle w:val="19"/>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76" w:type="pct"/>
            <w:vAlign w:val="center"/>
          </w:tcPr>
          <w:p>
            <w:pPr>
              <w:pStyle w:val="19"/>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履约验收方式</w:t>
            </w:r>
          </w:p>
        </w:tc>
        <w:tc>
          <w:tcPr>
            <w:tcW w:w="3238" w:type="pct"/>
          </w:tcPr>
          <w:p>
            <w:pPr>
              <w:pStyle w:val="19"/>
              <w:keepNext w:val="0"/>
              <w:keepLines w:val="0"/>
              <w:pageBreakBefore w:val="0"/>
              <w:kinsoku/>
              <w:wordWrap/>
              <w:overflowPunct/>
              <w:topLinePunct w:val="0"/>
              <w:autoSpaceDN/>
              <w:bidi w:val="0"/>
              <w:spacing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期次</w:t>
            </w:r>
            <w:r>
              <w:rPr>
                <w:rFonts w:hint="eastAsia" w:ascii="宋体" w:hAnsi="宋体" w:eastAsia="宋体" w:cs="宋体"/>
                <w:color w:val="auto"/>
                <w:sz w:val="24"/>
                <w:szCs w:val="24"/>
                <w:highlight w:val="none"/>
              </w:rPr>
              <w:t>1，说明：按招标文件、投标文件以及国家和行业验收规范要求及合同中的相关条款进行验收。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40" w:type="pct"/>
            <w:vAlign w:val="center"/>
          </w:tcPr>
          <w:p>
            <w:pPr>
              <w:pStyle w:val="19"/>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543" w:type="pct"/>
            <w:vAlign w:val="center"/>
          </w:tcPr>
          <w:p>
            <w:pPr>
              <w:pStyle w:val="19"/>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76" w:type="pct"/>
            <w:vAlign w:val="center"/>
          </w:tcPr>
          <w:p>
            <w:pPr>
              <w:pStyle w:val="19"/>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合同支付方式</w:t>
            </w:r>
          </w:p>
        </w:tc>
        <w:tc>
          <w:tcPr>
            <w:tcW w:w="3238" w:type="pct"/>
          </w:tcPr>
          <w:p>
            <w:pPr>
              <w:pStyle w:val="19"/>
              <w:keepNext w:val="0"/>
              <w:keepLines w:val="0"/>
              <w:pageBreakBefore w:val="0"/>
              <w:kinsoku/>
              <w:wordWrap/>
              <w:overflowPunct/>
              <w:topLinePunct w:val="0"/>
              <w:autoSpaceDN/>
              <w:bidi w:val="0"/>
              <w:spacing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①人民币结算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银行转</w:t>
            </w:r>
            <w:r>
              <w:rPr>
                <w:rFonts w:hint="eastAsia" w:ascii="宋体" w:hAnsi="宋体" w:eastAsia="宋体" w:cs="宋体"/>
                <w:color w:val="auto"/>
                <w:sz w:val="24"/>
                <w:szCs w:val="24"/>
                <w:highlight w:val="none"/>
                <w:lang w:val="en-US" w:eastAsia="zh-CN"/>
              </w:rPr>
              <w:t>账；</w:t>
            </w:r>
            <w:r>
              <w:rPr>
                <w:rFonts w:hint="eastAsia" w:ascii="宋体" w:hAnsi="宋体" w:eastAsia="宋体" w:cs="宋体"/>
                <w:color w:val="auto"/>
                <w:sz w:val="24"/>
                <w:szCs w:val="24"/>
                <w:highlight w:val="none"/>
              </w:rPr>
              <w:t>②货到安装并验收合格后付款，采购人不接受</w:t>
            </w:r>
            <w:r>
              <w:rPr>
                <w:rFonts w:hint="eastAsia" w:ascii="宋体" w:hAnsi="宋体" w:eastAsia="宋体" w:cs="宋体"/>
                <w:color w:val="auto"/>
                <w:sz w:val="24"/>
                <w:szCs w:val="24"/>
                <w:highlight w:val="none"/>
                <w:lang w:val="en-US" w:eastAsia="zh-CN"/>
              </w:rPr>
              <w:t>需</w:t>
            </w:r>
            <w:r>
              <w:rPr>
                <w:rFonts w:hint="eastAsia" w:ascii="宋体" w:hAnsi="宋体" w:eastAsia="宋体" w:cs="宋体"/>
                <w:color w:val="auto"/>
                <w:sz w:val="24"/>
                <w:szCs w:val="24"/>
                <w:highlight w:val="none"/>
              </w:rPr>
              <w:t>要支付预付款的投标报价。本批招标货物的付款条件为货到安装并验收合格后支付合同总金额的100%。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40" w:type="pct"/>
            <w:vAlign w:val="center"/>
          </w:tcPr>
          <w:p>
            <w:pPr>
              <w:pStyle w:val="19"/>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543" w:type="pct"/>
            <w:vAlign w:val="center"/>
          </w:tcPr>
          <w:p>
            <w:pPr>
              <w:pStyle w:val="19"/>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76" w:type="pct"/>
            <w:vAlign w:val="center"/>
          </w:tcPr>
          <w:p>
            <w:pPr>
              <w:pStyle w:val="19"/>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3238" w:type="pct"/>
          </w:tcPr>
          <w:p>
            <w:pPr>
              <w:pStyle w:val="19"/>
              <w:keepNext w:val="0"/>
              <w:keepLines w:val="0"/>
              <w:pageBreakBefore w:val="0"/>
              <w:kinsoku/>
              <w:wordWrap/>
              <w:overflowPunct/>
              <w:topLinePunct w:val="0"/>
              <w:autoSpaceDN/>
              <w:bidi w:val="0"/>
              <w:spacing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缴纳</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签订合同前，</w:t>
            </w:r>
            <w:r>
              <w:rPr>
                <w:rFonts w:hint="eastAsia" w:ascii="宋体" w:hAnsi="宋体" w:cs="宋体"/>
                <w:b w:val="0"/>
                <w:bCs w:val="0"/>
                <w:color w:val="auto"/>
                <w:sz w:val="24"/>
                <w:szCs w:val="24"/>
                <w:highlight w:val="none"/>
                <w:lang w:val="en-US" w:eastAsia="zh-CN"/>
              </w:rPr>
              <w:t>中标供应商</w:t>
            </w:r>
            <w:r>
              <w:rPr>
                <w:rFonts w:hint="eastAsia" w:ascii="宋体" w:hAnsi="宋体" w:eastAsia="宋体" w:cs="宋体"/>
                <w:b w:val="0"/>
                <w:bCs w:val="0"/>
                <w:color w:val="auto"/>
                <w:sz w:val="24"/>
                <w:szCs w:val="24"/>
                <w:highlight w:val="none"/>
                <w:lang w:val="en-US" w:eastAsia="zh-CN"/>
              </w:rPr>
              <w:t>需向采购人指定账户以公对公转账形式缴纳履约保证金，履约保证金为</w:t>
            </w:r>
            <w:r>
              <w:rPr>
                <w:rFonts w:hint="eastAsia" w:ascii="宋体" w:hAnsi="宋体" w:cs="宋体"/>
                <w:b w:val="0"/>
                <w:bCs w:val="0"/>
                <w:color w:val="auto"/>
                <w:sz w:val="24"/>
                <w:szCs w:val="24"/>
                <w:highlight w:val="none"/>
                <w:lang w:val="en-US" w:eastAsia="zh-CN"/>
              </w:rPr>
              <w:t>中标金额</w:t>
            </w:r>
            <w:r>
              <w:rPr>
                <w:rFonts w:hint="eastAsia" w:ascii="宋体" w:hAnsi="宋体" w:eastAsia="宋体" w:cs="宋体"/>
                <w:b w:val="0"/>
                <w:bCs w:val="0"/>
                <w:color w:val="auto"/>
                <w:sz w:val="24"/>
                <w:szCs w:val="24"/>
                <w:highlight w:val="none"/>
                <w:lang w:val="en-US" w:eastAsia="zh-CN"/>
              </w:rPr>
              <w:t>的5%，于合同履行完毕且无未了事宜后无息退还。履约保证金缴纳时间为</w:t>
            </w:r>
            <w:r>
              <w:rPr>
                <w:rFonts w:hint="eastAsia" w:ascii="宋体" w:hAnsi="宋体" w:cs="宋体"/>
                <w:b w:val="0"/>
                <w:bCs w:val="0"/>
                <w:color w:val="auto"/>
                <w:sz w:val="24"/>
                <w:szCs w:val="24"/>
                <w:highlight w:val="none"/>
                <w:lang w:val="en-US" w:eastAsia="zh-CN"/>
              </w:rPr>
              <w:t>结果</w:t>
            </w:r>
            <w:r>
              <w:rPr>
                <w:rFonts w:hint="eastAsia" w:ascii="宋体" w:hAnsi="宋体" w:eastAsia="宋体" w:cs="宋体"/>
                <w:b w:val="0"/>
                <w:bCs w:val="0"/>
                <w:color w:val="auto"/>
                <w:sz w:val="24"/>
                <w:szCs w:val="24"/>
                <w:highlight w:val="none"/>
                <w:lang w:val="en-US" w:eastAsia="zh-CN"/>
              </w:rPr>
              <w:t>公示无异议后七个工作日之内。</w:t>
            </w:r>
            <w:r>
              <w:rPr>
                <w:rFonts w:hint="eastAsia" w:ascii="宋体" w:hAnsi="宋体" w:cs="宋体"/>
                <w:b w:val="0"/>
                <w:bCs w:val="0"/>
                <w:color w:val="auto"/>
                <w:sz w:val="24"/>
                <w:szCs w:val="24"/>
                <w:highlight w:val="none"/>
                <w:lang w:val="en-US" w:eastAsia="zh-CN"/>
              </w:rPr>
              <w:t>中标供应商</w:t>
            </w:r>
            <w:r>
              <w:rPr>
                <w:rFonts w:hint="eastAsia" w:ascii="宋体" w:hAnsi="宋体" w:eastAsia="宋体" w:cs="宋体"/>
                <w:b w:val="0"/>
                <w:bCs w:val="0"/>
                <w:color w:val="auto"/>
                <w:sz w:val="24"/>
                <w:szCs w:val="24"/>
                <w:highlight w:val="none"/>
                <w:lang w:val="en-US" w:eastAsia="zh-CN"/>
              </w:rPr>
              <w:t>需在缴纳履约保证金之后七个工作日内与采购人签订合同。</w:t>
            </w:r>
          </w:p>
        </w:tc>
      </w:tr>
    </w:tbl>
    <w:p>
      <w:pPr>
        <w:pStyle w:val="19"/>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其他商务要求</w:t>
      </w:r>
    </w:p>
    <w:p>
      <w:pPr>
        <w:pStyle w:val="19"/>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★本项目其他商务要求</w:t>
      </w:r>
    </w:p>
    <w:p>
      <w:pPr>
        <w:pStyle w:val="19"/>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1、安装与验收</w:t>
      </w:r>
    </w:p>
    <w:p>
      <w:pPr>
        <w:pStyle w:val="19"/>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1.1安装</w:t>
      </w:r>
    </w:p>
    <w:p>
      <w:pPr>
        <w:pStyle w:val="19"/>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1.1.1合同签订后，由</w:t>
      </w:r>
      <w:r>
        <w:rPr>
          <w:rFonts w:hint="eastAsia" w:ascii="宋体" w:hAnsi="宋体" w:eastAsia="宋体" w:cs="宋体"/>
          <w:b/>
          <w:color w:val="auto"/>
          <w:sz w:val="24"/>
          <w:szCs w:val="24"/>
          <w:highlight w:val="none"/>
          <w:lang w:eastAsia="zh-CN"/>
        </w:rPr>
        <w:t>中标供应商</w:t>
      </w:r>
      <w:r>
        <w:rPr>
          <w:rFonts w:hint="eastAsia" w:ascii="宋体" w:hAnsi="宋体" w:eastAsia="宋体" w:cs="宋体"/>
          <w:b/>
          <w:color w:val="auto"/>
          <w:sz w:val="24"/>
          <w:szCs w:val="24"/>
          <w:highlight w:val="none"/>
        </w:rPr>
        <w:t>负责将设备按签订合同的具体数量、具体地点运送到最终目的地。并负责派技术人员到现场进行安装、调试，技术人员必须具有安装、调试同型号设备的工作经验，并负责调试至验收合格交付采购人使用。</w:t>
      </w:r>
    </w:p>
    <w:p>
      <w:pPr>
        <w:pStyle w:val="19"/>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1.1.2</w:t>
      </w:r>
      <w:r>
        <w:rPr>
          <w:rFonts w:hint="eastAsia" w:ascii="宋体" w:hAnsi="宋体" w:eastAsia="宋体" w:cs="宋体"/>
          <w:b/>
          <w:color w:val="auto"/>
          <w:sz w:val="24"/>
          <w:szCs w:val="24"/>
          <w:highlight w:val="none"/>
          <w:lang w:eastAsia="zh-CN"/>
        </w:rPr>
        <w:t>中标供应商</w:t>
      </w:r>
      <w:r>
        <w:rPr>
          <w:rFonts w:hint="eastAsia" w:ascii="宋体" w:hAnsi="宋体" w:eastAsia="宋体" w:cs="宋体"/>
          <w:b/>
          <w:color w:val="auto"/>
          <w:sz w:val="24"/>
          <w:szCs w:val="24"/>
          <w:highlight w:val="none"/>
        </w:rPr>
        <w:t>负责组织专业技术人员进行货物安装调试，采购人应提供</w:t>
      </w:r>
      <w:r>
        <w:rPr>
          <w:rFonts w:hint="eastAsia" w:ascii="宋体" w:hAnsi="宋体" w:eastAsia="宋体" w:cs="宋体"/>
          <w:b/>
          <w:color w:val="auto"/>
          <w:sz w:val="24"/>
          <w:szCs w:val="24"/>
          <w:highlight w:val="none"/>
        </w:rPr>
        <w:t>必须的</w:t>
      </w:r>
      <w:r>
        <w:rPr>
          <w:rFonts w:hint="eastAsia" w:ascii="宋体" w:hAnsi="宋体" w:eastAsia="宋体" w:cs="宋体"/>
          <w:b/>
          <w:color w:val="auto"/>
          <w:sz w:val="24"/>
          <w:szCs w:val="24"/>
          <w:highlight w:val="none"/>
        </w:rPr>
        <w:t>基本条件和专人配合，保证各项安装工作顺利进行。</w:t>
      </w:r>
    </w:p>
    <w:p>
      <w:pPr>
        <w:pStyle w:val="19"/>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1.1.3</w:t>
      </w:r>
      <w:r>
        <w:rPr>
          <w:rFonts w:hint="eastAsia" w:ascii="宋体" w:hAnsi="宋体" w:eastAsia="宋体" w:cs="宋体"/>
          <w:b/>
          <w:color w:val="auto"/>
          <w:sz w:val="24"/>
          <w:szCs w:val="24"/>
          <w:highlight w:val="none"/>
          <w:lang w:eastAsia="zh-CN"/>
        </w:rPr>
        <w:t>中标供应商</w:t>
      </w:r>
      <w:r>
        <w:rPr>
          <w:rFonts w:hint="eastAsia" w:ascii="宋体" w:hAnsi="宋体" w:eastAsia="宋体" w:cs="宋体"/>
          <w:b/>
          <w:color w:val="auto"/>
          <w:sz w:val="24"/>
          <w:szCs w:val="24"/>
          <w:highlight w:val="none"/>
        </w:rPr>
        <w:t>应在合同签订时，向采购人提供安装及试运行的进度计划表。</w:t>
      </w:r>
    </w:p>
    <w:p>
      <w:pPr>
        <w:pStyle w:val="19"/>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1.1.4设备到达最终采购人现场后，</w:t>
      </w:r>
      <w:r>
        <w:rPr>
          <w:rFonts w:hint="eastAsia" w:ascii="宋体" w:hAnsi="宋体" w:eastAsia="宋体" w:cs="宋体"/>
          <w:b/>
          <w:color w:val="auto"/>
          <w:sz w:val="24"/>
          <w:szCs w:val="24"/>
          <w:highlight w:val="none"/>
          <w:lang w:eastAsia="zh-CN"/>
        </w:rPr>
        <w:t>中标供应商</w:t>
      </w:r>
      <w:r>
        <w:rPr>
          <w:rFonts w:hint="eastAsia" w:ascii="宋体" w:hAnsi="宋体" w:eastAsia="宋体" w:cs="宋体"/>
          <w:b/>
          <w:color w:val="auto"/>
          <w:sz w:val="24"/>
          <w:szCs w:val="24"/>
          <w:highlight w:val="none"/>
        </w:rPr>
        <w:t>的工程师到采购人的现场安装设备，同时应向采购人介绍设备功能及特殊分析并进行现场演示。</w:t>
      </w:r>
    </w:p>
    <w:p>
      <w:pPr>
        <w:pStyle w:val="19"/>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1.1.5设备进场后须在接到采购人安装通知后在采购人规定的时间内安装调试完毕并交付使用。</w:t>
      </w:r>
    </w:p>
    <w:p>
      <w:pPr>
        <w:pStyle w:val="19"/>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1.1.6</w:t>
      </w:r>
      <w:r>
        <w:rPr>
          <w:rFonts w:hint="eastAsia" w:ascii="宋体" w:hAnsi="宋体" w:eastAsia="宋体" w:cs="宋体"/>
          <w:b/>
          <w:color w:val="auto"/>
          <w:sz w:val="24"/>
          <w:szCs w:val="24"/>
          <w:highlight w:val="none"/>
          <w:lang w:eastAsia="zh-CN"/>
        </w:rPr>
        <w:t>中标供应商</w:t>
      </w:r>
      <w:r>
        <w:rPr>
          <w:rFonts w:hint="eastAsia" w:ascii="宋体" w:hAnsi="宋体" w:eastAsia="宋体" w:cs="宋体"/>
          <w:b/>
          <w:color w:val="auto"/>
          <w:sz w:val="24"/>
          <w:szCs w:val="24"/>
          <w:highlight w:val="none"/>
        </w:rPr>
        <w:t>提供的配置应符合临床应用要求。</w:t>
      </w:r>
    </w:p>
    <w:p>
      <w:pPr>
        <w:pStyle w:val="19"/>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1.2验收</w:t>
      </w:r>
    </w:p>
    <w:p>
      <w:pPr>
        <w:pStyle w:val="19"/>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1.2.1验收标准</w:t>
      </w:r>
    </w:p>
    <w:p>
      <w:pPr>
        <w:pStyle w:val="19"/>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人所提供的设备必须是制造厂家生产的崭新的未开箱的原包装设备。所有设备按厂家设备验收标准（符合国家或行业或地方标准）、招标文件、投标文件等有关内容进行验收。投标人提供设备的制造标准及技术规范等有关资料必须符合中国相应有关标准、规范要求。如属于计量器具的，须经过计量部门计量检定或校准，合格后才能投入使用。检测费用由</w:t>
      </w:r>
      <w:r>
        <w:rPr>
          <w:rFonts w:hint="eastAsia" w:ascii="宋体" w:hAnsi="宋体" w:eastAsia="宋体" w:cs="宋体"/>
          <w:b/>
          <w:color w:val="auto"/>
          <w:sz w:val="24"/>
          <w:szCs w:val="24"/>
          <w:highlight w:val="none"/>
          <w:lang w:eastAsia="zh-CN"/>
        </w:rPr>
        <w:t>中标供应商</w:t>
      </w:r>
      <w:r>
        <w:rPr>
          <w:rFonts w:hint="eastAsia" w:ascii="宋体" w:hAnsi="宋体" w:eastAsia="宋体" w:cs="宋体"/>
          <w:b/>
          <w:color w:val="auto"/>
          <w:sz w:val="24"/>
          <w:szCs w:val="24"/>
          <w:highlight w:val="none"/>
        </w:rPr>
        <w:t>承担。</w:t>
      </w:r>
    </w:p>
    <w:p>
      <w:pPr>
        <w:pStyle w:val="19"/>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1.2.2验收程序和方法</w:t>
      </w:r>
    </w:p>
    <w:p>
      <w:pPr>
        <w:pStyle w:val="19"/>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1.2.2.1出厂检验</w:t>
      </w:r>
    </w:p>
    <w:p>
      <w:pPr>
        <w:pStyle w:val="19"/>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中标供应商</w:t>
      </w:r>
      <w:r>
        <w:rPr>
          <w:rFonts w:hint="eastAsia" w:ascii="宋体" w:hAnsi="宋体" w:eastAsia="宋体" w:cs="宋体"/>
          <w:b/>
          <w:color w:val="auto"/>
          <w:sz w:val="24"/>
          <w:szCs w:val="24"/>
          <w:highlight w:val="none"/>
        </w:rPr>
        <w:t>在设备出厂前，应按设备技术标准规定的检验项目和检验方法进行全面检验，</w:t>
      </w:r>
      <w:r>
        <w:rPr>
          <w:rFonts w:hint="eastAsia" w:ascii="宋体" w:hAnsi="宋体" w:eastAsia="宋体" w:cs="宋体"/>
          <w:b/>
          <w:color w:val="auto"/>
          <w:sz w:val="24"/>
          <w:szCs w:val="24"/>
          <w:highlight w:val="none"/>
          <w:lang w:eastAsia="zh-CN"/>
        </w:rPr>
        <w:t>中标供应商</w:t>
      </w:r>
      <w:r>
        <w:rPr>
          <w:rFonts w:hint="eastAsia" w:ascii="宋体" w:hAnsi="宋体" w:eastAsia="宋体" w:cs="宋体"/>
          <w:b/>
          <w:color w:val="auto"/>
          <w:sz w:val="24"/>
          <w:szCs w:val="24"/>
          <w:highlight w:val="none"/>
        </w:rPr>
        <w:t>应随同货物出具供货证明、产地证书、出厂检验报告、质量合格证书、原装拼配设备的证明资料和文件以及生产厂家供货确认函等。结果必须符合第1.2.1款验收标准的要求。</w:t>
      </w:r>
    </w:p>
    <w:p>
      <w:pPr>
        <w:pStyle w:val="19"/>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1.2.2.2初验收：</w:t>
      </w:r>
    </w:p>
    <w:p>
      <w:pPr>
        <w:pStyle w:val="19"/>
        <w:keepNext w:val="0"/>
        <w:keepLines w:val="0"/>
        <w:pageBreakBefore w:val="0"/>
        <w:widowControl/>
        <w:kinsoku/>
        <w:wordWrap/>
        <w:overflowPunct/>
        <w:topLinePunct w:val="0"/>
        <w:autoSpaceDE/>
        <w:autoSpaceDN/>
        <w:bidi w:val="0"/>
        <w:adjustRightInd/>
        <w:snapToGrid/>
        <w:spacing w:line="360" w:lineRule="exact"/>
        <w:ind w:firstLine="54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由</w:t>
      </w:r>
      <w:r>
        <w:rPr>
          <w:rFonts w:hint="eastAsia" w:ascii="宋体" w:hAnsi="宋体" w:eastAsia="宋体" w:cs="宋体"/>
          <w:b/>
          <w:color w:val="auto"/>
          <w:sz w:val="24"/>
          <w:szCs w:val="24"/>
          <w:highlight w:val="none"/>
          <w:lang w:eastAsia="zh-CN"/>
        </w:rPr>
        <w:t>中标供应商</w:t>
      </w:r>
      <w:r>
        <w:rPr>
          <w:rFonts w:hint="eastAsia" w:ascii="宋体" w:hAnsi="宋体" w:eastAsia="宋体" w:cs="宋体"/>
          <w:b/>
          <w:color w:val="auto"/>
          <w:sz w:val="24"/>
          <w:szCs w:val="24"/>
          <w:highlight w:val="none"/>
        </w:rPr>
        <w:t>和采购人共同对设备的数量、质量、外包装等根据本章节的有关规定逐项检验。</w:t>
      </w:r>
    </w:p>
    <w:p>
      <w:pPr>
        <w:pStyle w:val="19"/>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1.2.2.3试运行：</w:t>
      </w:r>
    </w:p>
    <w:p>
      <w:pPr>
        <w:pStyle w:val="19"/>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设备安装完毕后，</w:t>
      </w:r>
      <w:r>
        <w:rPr>
          <w:rFonts w:hint="eastAsia" w:ascii="宋体" w:hAnsi="宋体" w:eastAsia="宋体" w:cs="宋体"/>
          <w:b/>
          <w:color w:val="auto"/>
          <w:sz w:val="24"/>
          <w:szCs w:val="24"/>
          <w:highlight w:val="none"/>
          <w:lang w:eastAsia="zh-CN"/>
        </w:rPr>
        <w:t>中标供应商</w:t>
      </w:r>
      <w:r>
        <w:rPr>
          <w:rFonts w:hint="eastAsia" w:ascii="宋体" w:hAnsi="宋体" w:eastAsia="宋体" w:cs="宋体"/>
          <w:b/>
          <w:color w:val="auto"/>
          <w:sz w:val="24"/>
          <w:szCs w:val="24"/>
          <w:highlight w:val="none"/>
        </w:rPr>
        <w:t>应对设备的整体性能和功能进行测试，试运行期间，出现的任何问题，应由</w:t>
      </w:r>
      <w:r>
        <w:rPr>
          <w:rFonts w:hint="eastAsia" w:ascii="宋体" w:hAnsi="宋体" w:eastAsia="宋体" w:cs="宋体"/>
          <w:b/>
          <w:color w:val="auto"/>
          <w:sz w:val="24"/>
          <w:szCs w:val="24"/>
          <w:highlight w:val="none"/>
          <w:lang w:eastAsia="zh-CN"/>
        </w:rPr>
        <w:t>中标供应商</w:t>
      </w:r>
      <w:r>
        <w:rPr>
          <w:rFonts w:hint="eastAsia" w:ascii="宋体" w:hAnsi="宋体" w:eastAsia="宋体" w:cs="宋体"/>
          <w:b/>
          <w:color w:val="auto"/>
          <w:sz w:val="24"/>
          <w:szCs w:val="24"/>
          <w:highlight w:val="none"/>
        </w:rPr>
        <w:t>及时处理修正。测试结果必须符合招标文件要求及合同中的相关条款，同时</w:t>
      </w:r>
      <w:r>
        <w:rPr>
          <w:rFonts w:hint="eastAsia" w:ascii="宋体" w:hAnsi="宋体" w:eastAsia="宋体" w:cs="宋体"/>
          <w:b/>
          <w:color w:val="auto"/>
          <w:sz w:val="24"/>
          <w:szCs w:val="24"/>
          <w:highlight w:val="none"/>
          <w:lang w:eastAsia="zh-CN"/>
        </w:rPr>
        <w:t>中标供应商</w:t>
      </w:r>
      <w:r>
        <w:rPr>
          <w:rFonts w:hint="eastAsia" w:ascii="宋体" w:hAnsi="宋体" w:eastAsia="宋体" w:cs="宋体"/>
          <w:b/>
          <w:color w:val="auto"/>
          <w:sz w:val="24"/>
          <w:szCs w:val="24"/>
          <w:highlight w:val="none"/>
        </w:rPr>
        <w:t>应向采购人提供自检记录。</w:t>
      </w:r>
    </w:p>
    <w:p>
      <w:pPr>
        <w:pStyle w:val="19"/>
        <w:keepNext w:val="0"/>
        <w:keepLines w:val="0"/>
        <w:pageBreakBefore w:val="0"/>
        <w:widowControl/>
        <w:kinsoku/>
        <w:wordWrap/>
        <w:overflowPunct/>
        <w:topLinePunct w:val="0"/>
        <w:autoSpaceDE/>
        <w:autoSpaceDN/>
        <w:bidi w:val="0"/>
        <w:adjustRightInd/>
        <w:snapToGrid/>
        <w:spacing w:line="360" w:lineRule="exact"/>
        <w:ind w:firstLine="342"/>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1.2.2.4最终验收：</w:t>
      </w:r>
    </w:p>
    <w:p>
      <w:pPr>
        <w:pStyle w:val="19"/>
        <w:keepNext w:val="0"/>
        <w:keepLines w:val="0"/>
        <w:pageBreakBefore w:val="0"/>
        <w:widowControl/>
        <w:kinsoku/>
        <w:wordWrap/>
        <w:overflowPunct/>
        <w:topLinePunct w:val="0"/>
        <w:autoSpaceDE/>
        <w:autoSpaceDN/>
        <w:bidi w:val="0"/>
        <w:adjustRightInd/>
        <w:snapToGrid/>
        <w:spacing w:line="360" w:lineRule="exact"/>
        <w:ind w:firstLine="54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试运行并测试验收结束后，由采购人或</w:t>
      </w:r>
      <w:r>
        <w:rPr>
          <w:rFonts w:hint="eastAsia" w:ascii="宋体" w:hAnsi="宋体" w:eastAsia="宋体" w:cs="宋体"/>
          <w:b/>
          <w:color w:val="auto"/>
          <w:sz w:val="24"/>
          <w:szCs w:val="24"/>
          <w:highlight w:val="none"/>
          <w:lang w:eastAsia="zh-CN"/>
        </w:rPr>
        <w:t>中标供应商</w:t>
      </w:r>
      <w:r>
        <w:rPr>
          <w:rFonts w:hint="eastAsia" w:ascii="宋体" w:hAnsi="宋体" w:eastAsia="宋体" w:cs="宋体"/>
          <w:b/>
          <w:color w:val="auto"/>
          <w:sz w:val="24"/>
          <w:szCs w:val="24"/>
          <w:highlight w:val="none"/>
        </w:rPr>
        <w:t>委托的专业公司以及有关管理部门按招标文件以及合同相关条款要求一同对设备进行联合验收，验收结果应符合采购人使用要求。在此期间，若发现产品质量有问题</w:t>
      </w:r>
      <w:r>
        <w:rPr>
          <w:rFonts w:hint="eastAsia" w:ascii="宋体" w:hAnsi="宋体" w:eastAsia="宋体" w:cs="宋体"/>
          <w:b/>
          <w:color w:val="auto"/>
          <w:sz w:val="24"/>
          <w:szCs w:val="24"/>
          <w:highlight w:val="none"/>
          <w:lang w:eastAsia="zh-CN"/>
        </w:rPr>
        <w:t>中标供应商</w:t>
      </w:r>
      <w:r>
        <w:rPr>
          <w:rFonts w:hint="eastAsia" w:ascii="宋体" w:hAnsi="宋体" w:eastAsia="宋体" w:cs="宋体"/>
          <w:b/>
          <w:color w:val="auto"/>
          <w:sz w:val="24"/>
          <w:szCs w:val="24"/>
          <w:highlight w:val="none"/>
        </w:rPr>
        <w:t>应无条件免费更换，并无条件重新检测且调试直至验收合格交付使用。</w:t>
      </w:r>
    </w:p>
    <w:p>
      <w:pPr>
        <w:pStyle w:val="19"/>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1.2.3</w:t>
      </w:r>
      <w:r>
        <w:rPr>
          <w:rFonts w:hint="eastAsia" w:ascii="宋体" w:hAnsi="宋体" w:eastAsia="宋体" w:cs="宋体"/>
          <w:b/>
          <w:color w:val="auto"/>
          <w:sz w:val="24"/>
          <w:szCs w:val="24"/>
          <w:highlight w:val="none"/>
          <w:lang w:eastAsia="zh-CN"/>
        </w:rPr>
        <w:t>中标供应商</w:t>
      </w:r>
      <w:r>
        <w:rPr>
          <w:rFonts w:hint="eastAsia" w:ascii="宋体" w:hAnsi="宋体" w:eastAsia="宋体" w:cs="宋体"/>
          <w:b/>
          <w:color w:val="auto"/>
          <w:sz w:val="24"/>
          <w:szCs w:val="24"/>
          <w:highlight w:val="none"/>
        </w:rPr>
        <w:t>在采购人安装现场进行最终验收所产生的一切费用由</w:t>
      </w:r>
      <w:r>
        <w:rPr>
          <w:rFonts w:hint="eastAsia" w:ascii="宋体" w:hAnsi="宋体" w:eastAsia="宋体" w:cs="宋体"/>
          <w:b/>
          <w:color w:val="auto"/>
          <w:sz w:val="24"/>
          <w:szCs w:val="24"/>
          <w:highlight w:val="none"/>
          <w:lang w:eastAsia="zh-CN"/>
        </w:rPr>
        <w:t>中标供应商</w:t>
      </w:r>
      <w:r>
        <w:rPr>
          <w:rFonts w:hint="eastAsia" w:ascii="宋体" w:hAnsi="宋体" w:eastAsia="宋体" w:cs="宋体"/>
          <w:b/>
          <w:color w:val="auto"/>
          <w:sz w:val="24"/>
          <w:szCs w:val="24"/>
          <w:highlight w:val="none"/>
        </w:rPr>
        <w:t>承担（并入投标报价内）。</w:t>
      </w:r>
    </w:p>
    <w:p>
      <w:pPr>
        <w:pStyle w:val="19"/>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1.2.4若验收不能符合要求，采购人将按合同条款的有关规定执行。</w:t>
      </w:r>
    </w:p>
    <w:p>
      <w:pPr>
        <w:pStyle w:val="19"/>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2、技术资料要求:</w:t>
      </w:r>
    </w:p>
    <w:p>
      <w:pPr>
        <w:pStyle w:val="19"/>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中标供应商</w:t>
      </w:r>
      <w:r>
        <w:rPr>
          <w:rFonts w:hint="eastAsia" w:ascii="宋体" w:hAnsi="宋体" w:eastAsia="宋体" w:cs="宋体"/>
          <w:b/>
          <w:color w:val="auto"/>
          <w:sz w:val="24"/>
          <w:szCs w:val="24"/>
          <w:highlight w:val="none"/>
        </w:rPr>
        <w:t>需提供本项目全套设备配置清单（详列名称、品牌型号、数量、原产地等）。</w:t>
      </w:r>
      <w:r>
        <w:rPr>
          <w:rFonts w:hint="eastAsia" w:ascii="宋体" w:hAnsi="宋体" w:eastAsia="宋体" w:cs="宋体"/>
          <w:b/>
          <w:color w:val="auto"/>
          <w:sz w:val="24"/>
          <w:szCs w:val="24"/>
          <w:highlight w:val="none"/>
          <w:lang w:eastAsia="zh-CN"/>
        </w:rPr>
        <w:t>中标供应商</w:t>
      </w:r>
      <w:r>
        <w:rPr>
          <w:rFonts w:hint="eastAsia" w:ascii="宋体" w:hAnsi="宋体" w:eastAsia="宋体" w:cs="宋体"/>
          <w:b/>
          <w:color w:val="auto"/>
          <w:sz w:val="24"/>
          <w:szCs w:val="24"/>
          <w:highlight w:val="none"/>
        </w:rPr>
        <w:t>应向采购人提供以下目录的技术资料壹套（各项指标和参数应符合验收标准，采购人有权委托中国有资格单位或机构对设备性能、精度进行校核）。</w:t>
      </w:r>
    </w:p>
    <w:p>
      <w:pPr>
        <w:pStyle w:val="19"/>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2.1出厂明细表(装箱单)；</w:t>
      </w:r>
    </w:p>
    <w:p>
      <w:pPr>
        <w:pStyle w:val="19"/>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2.2出厂检验报告和合格证书；</w:t>
      </w:r>
    </w:p>
    <w:p>
      <w:pPr>
        <w:pStyle w:val="19"/>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2.3使用说明书；</w:t>
      </w:r>
    </w:p>
    <w:p>
      <w:pPr>
        <w:pStyle w:val="19"/>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2.4安装手册、操作手册、维修手册；</w:t>
      </w:r>
    </w:p>
    <w:p>
      <w:pPr>
        <w:pStyle w:val="19"/>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2.5零部件目录；</w:t>
      </w:r>
    </w:p>
    <w:p>
      <w:pPr>
        <w:pStyle w:val="19"/>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2.6相关文件、支持程序软盘或光盘；</w:t>
      </w:r>
    </w:p>
    <w:p>
      <w:pPr>
        <w:pStyle w:val="19"/>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2.7提供原产地制造商的产品证明；</w:t>
      </w:r>
    </w:p>
    <w:p>
      <w:pPr>
        <w:pStyle w:val="19"/>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2.8合同中要求的</w:t>
      </w:r>
      <w:r>
        <w:rPr>
          <w:rFonts w:hint="eastAsia" w:ascii="宋体" w:hAnsi="宋体" w:eastAsia="宋体" w:cs="宋体"/>
          <w:b/>
          <w:color w:val="auto"/>
          <w:sz w:val="24"/>
          <w:szCs w:val="24"/>
          <w:highlight w:val="none"/>
        </w:rPr>
        <w:t>其它</w:t>
      </w:r>
      <w:r>
        <w:rPr>
          <w:rFonts w:hint="eastAsia" w:ascii="宋体" w:hAnsi="宋体" w:eastAsia="宋体" w:cs="宋体"/>
          <w:b/>
          <w:color w:val="auto"/>
          <w:sz w:val="24"/>
          <w:szCs w:val="24"/>
          <w:highlight w:val="none"/>
        </w:rPr>
        <w:t>文件资料。</w:t>
      </w:r>
    </w:p>
    <w:p>
      <w:pPr>
        <w:pStyle w:val="19"/>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3、售后服务要求</w:t>
      </w:r>
    </w:p>
    <w:p>
      <w:pPr>
        <w:pStyle w:val="19"/>
        <w:keepNext w:val="0"/>
        <w:keepLines w:val="0"/>
        <w:pageBreakBefore w:val="0"/>
        <w:widowControl/>
        <w:kinsoku/>
        <w:wordWrap/>
        <w:overflowPunct/>
        <w:topLinePunct w:val="0"/>
        <w:autoSpaceDE/>
        <w:autoSpaceDN/>
        <w:bidi w:val="0"/>
        <w:adjustRightInd/>
        <w:snapToGrid/>
        <w:spacing w:line="360" w:lineRule="exact"/>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3.1保修期期限：</w:t>
      </w:r>
      <w:r>
        <w:rPr>
          <w:rFonts w:hint="eastAsia" w:ascii="宋体" w:hAnsi="宋体" w:eastAsia="宋体" w:cs="宋体"/>
          <w:b/>
          <w:color w:val="auto"/>
          <w:sz w:val="24"/>
          <w:szCs w:val="24"/>
          <w:highlight w:val="none"/>
        </w:rPr>
        <w:t>保修期自验收合格交付正常使用之日起不少于</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年。</w:t>
      </w:r>
      <w:r>
        <w:rPr>
          <w:rFonts w:hint="eastAsia" w:ascii="宋体" w:hAnsi="宋体" w:eastAsia="宋体" w:cs="宋体"/>
          <w:b/>
          <w:color w:val="auto"/>
          <w:sz w:val="24"/>
          <w:szCs w:val="24"/>
          <w:highlight w:val="none"/>
        </w:rPr>
        <w:t>保修期内，须按合同条款提供免费服务，非因操作不当造成要更换的零配件及仪器设备由中标供应商负责包修、包换。保修期满后，提供终身维修、维护服务。</w:t>
      </w:r>
    </w:p>
    <w:p>
      <w:pPr>
        <w:pStyle w:val="19"/>
        <w:keepNext w:val="0"/>
        <w:keepLines w:val="0"/>
        <w:pageBreakBefore w:val="0"/>
        <w:widowControl/>
        <w:kinsoku/>
        <w:wordWrap/>
        <w:overflowPunct/>
        <w:topLinePunct w:val="0"/>
        <w:autoSpaceDE/>
        <w:autoSpaceDN/>
        <w:bidi w:val="0"/>
        <w:adjustRightInd/>
        <w:snapToGrid/>
        <w:spacing w:line="360" w:lineRule="exact"/>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3.2在质量保证期内设备运行发生故障时</w:t>
      </w:r>
      <w:r>
        <w:rPr>
          <w:rFonts w:hint="eastAsia" w:ascii="宋体" w:hAnsi="宋体" w:eastAsia="宋体" w:cs="宋体"/>
          <w:b/>
          <w:color w:val="auto"/>
          <w:sz w:val="24"/>
          <w:szCs w:val="24"/>
          <w:highlight w:val="none"/>
          <w:lang w:eastAsia="zh-CN"/>
        </w:rPr>
        <w:t>中标供应商</w:t>
      </w:r>
      <w:r>
        <w:rPr>
          <w:rFonts w:hint="eastAsia" w:ascii="宋体" w:hAnsi="宋体" w:eastAsia="宋体" w:cs="宋体"/>
          <w:b/>
          <w:color w:val="auto"/>
          <w:sz w:val="24"/>
          <w:szCs w:val="24"/>
          <w:highlight w:val="none"/>
        </w:rPr>
        <w:t>在接到采购人故障通知后4小时内响应，并在24小时内派工程师到达现场，免费负责修理或更换有缺陷的零部件或整机，如一时无法修复的设备，</w:t>
      </w:r>
      <w:r>
        <w:rPr>
          <w:rFonts w:hint="eastAsia" w:ascii="宋体" w:hAnsi="宋体" w:eastAsia="宋体" w:cs="宋体"/>
          <w:b/>
          <w:color w:val="auto"/>
          <w:sz w:val="24"/>
          <w:szCs w:val="24"/>
          <w:highlight w:val="none"/>
          <w:lang w:eastAsia="zh-CN"/>
        </w:rPr>
        <w:t>中标供应商</w:t>
      </w:r>
      <w:r>
        <w:rPr>
          <w:rFonts w:hint="eastAsia" w:ascii="宋体" w:hAnsi="宋体" w:eastAsia="宋体" w:cs="宋体"/>
          <w:b/>
          <w:color w:val="auto"/>
          <w:sz w:val="24"/>
          <w:szCs w:val="24"/>
          <w:highlight w:val="none"/>
        </w:rPr>
        <w:t>应提供备品供采购人临床使用。在质量保证期一年内出现属设备质量问题，采购人则有权要求免费更换整机，更换的质量保证期从更换之日起相应顺延。</w:t>
      </w:r>
    </w:p>
    <w:p>
      <w:pPr>
        <w:pStyle w:val="19"/>
        <w:keepNext w:val="0"/>
        <w:keepLines w:val="0"/>
        <w:pageBreakBefore w:val="0"/>
        <w:widowControl/>
        <w:kinsoku/>
        <w:wordWrap/>
        <w:overflowPunct/>
        <w:topLinePunct w:val="0"/>
        <w:autoSpaceDE/>
        <w:autoSpaceDN/>
        <w:bidi w:val="0"/>
        <w:adjustRightInd/>
        <w:snapToGrid/>
        <w:spacing w:line="360" w:lineRule="exact"/>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3.3为保证采购人设备的正常运行，</w:t>
      </w:r>
      <w:r>
        <w:rPr>
          <w:rFonts w:hint="eastAsia" w:ascii="宋体" w:hAnsi="宋体" w:eastAsia="宋体" w:cs="宋体"/>
          <w:b/>
          <w:color w:val="auto"/>
          <w:sz w:val="24"/>
          <w:szCs w:val="24"/>
          <w:highlight w:val="none"/>
          <w:lang w:eastAsia="zh-CN"/>
        </w:rPr>
        <w:t>中标供应商</w:t>
      </w:r>
      <w:r>
        <w:rPr>
          <w:rFonts w:hint="eastAsia" w:ascii="宋体" w:hAnsi="宋体" w:eastAsia="宋体" w:cs="宋体"/>
          <w:b/>
          <w:color w:val="auto"/>
          <w:sz w:val="24"/>
          <w:szCs w:val="24"/>
          <w:highlight w:val="none"/>
        </w:rPr>
        <w:t>应根据设备运行状况提供定期预防性维护保养,并提供详细检测内容和检测清单的维修报告；设备发生故障维修及保养事件，必须到采购人信息科备案登记；维护保养的次数与内容、更换维修备件的数目需详细记录，相关文件交采购人信息科存档。</w:t>
      </w:r>
    </w:p>
    <w:p>
      <w:pPr>
        <w:pStyle w:val="19"/>
        <w:keepNext w:val="0"/>
        <w:keepLines w:val="0"/>
        <w:pageBreakBefore w:val="0"/>
        <w:widowControl/>
        <w:kinsoku/>
        <w:wordWrap/>
        <w:overflowPunct/>
        <w:topLinePunct w:val="0"/>
        <w:autoSpaceDE/>
        <w:autoSpaceDN/>
        <w:bidi w:val="0"/>
        <w:adjustRightInd/>
        <w:snapToGrid/>
        <w:spacing w:line="360" w:lineRule="exact"/>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3.4免费保修期满前1个月内</w:t>
      </w:r>
      <w:r>
        <w:rPr>
          <w:rFonts w:hint="eastAsia" w:ascii="宋体" w:hAnsi="宋体" w:eastAsia="宋体" w:cs="宋体"/>
          <w:b/>
          <w:color w:val="auto"/>
          <w:sz w:val="24"/>
          <w:szCs w:val="24"/>
          <w:highlight w:val="none"/>
          <w:lang w:eastAsia="zh-CN"/>
        </w:rPr>
        <w:t>中标供应商</w:t>
      </w:r>
      <w:r>
        <w:rPr>
          <w:rFonts w:hint="eastAsia" w:ascii="宋体" w:hAnsi="宋体" w:eastAsia="宋体" w:cs="宋体"/>
          <w:b/>
          <w:color w:val="auto"/>
          <w:sz w:val="24"/>
          <w:szCs w:val="24"/>
          <w:highlight w:val="none"/>
        </w:rPr>
        <w:t>应负责对设备进行一次免费全面检查，如发现潜在问题，应负责排除，保证设备正常运行。</w:t>
      </w:r>
    </w:p>
    <w:p>
      <w:pPr>
        <w:pStyle w:val="19"/>
        <w:keepNext w:val="0"/>
        <w:keepLines w:val="0"/>
        <w:pageBreakBefore w:val="0"/>
        <w:widowControl/>
        <w:kinsoku/>
        <w:wordWrap/>
        <w:overflowPunct/>
        <w:topLinePunct w:val="0"/>
        <w:autoSpaceDE/>
        <w:autoSpaceDN/>
        <w:bidi w:val="0"/>
        <w:adjustRightInd/>
        <w:snapToGrid/>
        <w:spacing w:line="360" w:lineRule="exact"/>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3.5质量保证期后的服务要求：质保期结束后，</w:t>
      </w:r>
      <w:r>
        <w:rPr>
          <w:rFonts w:hint="eastAsia" w:ascii="宋体" w:hAnsi="宋体" w:eastAsia="宋体" w:cs="宋体"/>
          <w:b/>
          <w:color w:val="auto"/>
          <w:sz w:val="24"/>
          <w:szCs w:val="24"/>
          <w:highlight w:val="none"/>
          <w:lang w:eastAsia="zh-CN"/>
        </w:rPr>
        <w:t>中标供应商</w:t>
      </w:r>
      <w:r>
        <w:rPr>
          <w:rFonts w:hint="eastAsia" w:ascii="宋体" w:hAnsi="宋体" w:eastAsia="宋体" w:cs="宋体"/>
          <w:b/>
          <w:color w:val="auto"/>
          <w:sz w:val="24"/>
          <w:szCs w:val="24"/>
          <w:highlight w:val="none"/>
        </w:rPr>
        <w:t>仍应负责对设备提供售后服务，并保障备品配件的供应。</w:t>
      </w:r>
    </w:p>
    <w:p>
      <w:pPr>
        <w:pStyle w:val="19"/>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4、技术培训</w:t>
      </w:r>
    </w:p>
    <w:p>
      <w:pPr>
        <w:pStyle w:val="19"/>
        <w:keepNext w:val="0"/>
        <w:keepLines w:val="0"/>
        <w:pageBreakBefore w:val="0"/>
        <w:widowControl/>
        <w:kinsoku/>
        <w:wordWrap/>
        <w:overflowPunct/>
        <w:topLinePunct w:val="0"/>
        <w:autoSpaceDE/>
        <w:autoSpaceDN/>
        <w:bidi w:val="0"/>
        <w:adjustRightInd/>
        <w:snapToGrid/>
        <w:spacing w:line="360" w:lineRule="exact"/>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技术培训如下：</w:t>
      </w:r>
    </w:p>
    <w:p>
      <w:pPr>
        <w:pStyle w:val="19"/>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4.1</w:t>
      </w:r>
      <w:r>
        <w:rPr>
          <w:rFonts w:hint="eastAsia" w:ascii="宋体" w:hAnsi="宋体" w:eastAsia="宋体" w:cs="宋体"/>
          <w:b/>
          <w:color w:val="auto"/>
          <w:sz w:val="24"/>
          <w:szCs w:val="24"/>
          <w:highlight w:val="none"/>
          <w:lang w:eastAsia="zh-CN"/>
        </w:rPr>
        <w:t>中标供应商</w:t>
      </w:r>
      <w:r>
        <w:rPr>
          <w:rFonts w:hint="eastAsia" w:ascii="宋体" w:hAnsi="宋体" w:eastAsia="宋体" w:cs="宋体"/>
          <w:b/>
          <w:color w:val="auto"/>
          <w:sz w:val="24"/>
          <w:szCs w:val="24"/>
          <w:highlight w:val="none"/>
        </w:rPr>
        <w:t>须免费对设备进行安装和调试，并列好计划对设备的使用操作、设备维修、故障排除、日常保养等方面提供现场技术培训，直到受训的技术人员能独立操作为止；对相应的受训人员将免费提供相应讲义教材等资料。技术培训没完成，不进行设备最终验收。</w:t>
      </w:r>
    </w:p>
    <w:p>
      <w:pPr>
        <w:pStyle w:val="19"/>
        <w:keepNext w:val="0"/>
        <w:keepLines w:val="0"/>
        <w:pageBreakBefore w:val="0"/>
        <w:widowControl/>
        <w:kinsoku/>
        <w:wordWrap/>
        <w:overflowPunct/>
        <w:topLinePunct w:val="0"/>
        <w:autoSpaceDE/>
        <w:autoSpaceDN/>
        <w:bidi w:val="0"/>
        <w:adjustRightInd/>
        <w:snapToGrid/>
        <w:spacing w:line="360" w:lineRule="exact"/>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4.2、</w:t>
      </w:r>
      <w:r>
        <w:rPr>
          <w:rFonts w:hint="eastAsia" w:ascii="宋体" w:hAnsi="宋体" w:eastAsia="宋体" w:cs="宋体"/>
          <w:b/>
          <w:color w:val="auto"/>
          <w:sz w:val="24"/>
          <w:szCs w:val="24"/>
          <w:highlight w:val="none"/>
          <w:lang w:eastAsia="zh-CN"/>
        </w:rPr>
        <w:t>中标供应商</w:t>
      </w:r>
      <w:r>
        <w:rPr>
          <w:rFonts w:hint="eastAsia" w:ascii="宋体" w:hAnsi="宋体" w:eastAsia="宋体" w:cs="宋体"/>
          <w:b/>
          <w:color w:val="auto"/>
          <w:sz w:val="24"/>
          <w:szCs w:val="24"/>
          <w:highlight w:val="none"/>
        </w:rPr>
        <w:t>须提供覆盖线上和线下的人员教育培训服务：除设备使用培训外，另提供针对诊断医生、操作技师的培训服务，综合培训时间合计不少于100个学时。(服务时间:壹年）</w:t>
      </w:r>
    </w:p>
    <w:p>
      <w:pPr>
        <w:pStyle w:val="19"/>
        <w:keepNext w:val="0"/>
        <w:keepLines w:val="0"/>
        <w:pageBreakBefore w:val="0"/>
        <w:widowControl/>
        <w:kinsoku/>
        <w:wordWrap/>
        <w:overflowPunct/>
        <w:topLinePunct w:val="0"/>
        <w:autoSpaceDE/>
        <w:autoSpaceDN/>
        <w:bidi w:val="0"/>
        <w:adjustRightInd/>
        <w:snapToGrid/>
        <w:spacing w:line="360" w:lineRule="exact"/>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4.3、</w:t>
      </w:r>
      <w:r>
        <w:rPr>
          <w:rFonts w:hint="eastAsia" w:ascii="宋体" w:hAnsi="宋体" w:eastAsia="宋体" w:cs="宋体"/>
          <w:b/>
          <w:color w:val="auto"/>
          <w:sz w:val="24"/>
          <w:szCs w:val="24"/>
          <w:highlight w:val="none"/>
          <w:lang w:eastAsia="zh-CN"/>
        </w:rPr>
        <w:t>中标供应商</w:t>
      </w:r>
      <w:r>
        <w:rPr>
          <w:rFonts w:hint="eastAsia" w:ascii="宋体" w:hAnsi="宋体" w:eastAsia="宋体" w:cs="宋体"/>
          <w:b/>
          <w:color w:val="auto"/>
          <w:sz w:val="24"/>
          <w:szCs w:val="24"/>
          <w:highlight w:val="none"/>
        </w:rPr>
        <w:t>须提供影像技术现场应用培训服务：设备使用技术专家来到科室，对影像科室技师操作所遇疑难问题进行手把手教学，结合设备进行针对性培训，按线下培训不少于1次/年交付，每次培训时间不少于2天。</w:t>
      </w:r>
    </w:p>
    <w:p>
      <w:pPr>
        <w:pStyle w:val="19"/>
        <w:keepNext w:val="0"/>
        <w:keepLines w:val="0"/>
        <w:pageBreakBefore w:val="0"/>
        <w:widowControl/>
        <w:kinsoku/>
        <w:wordWrap/>
        <w:overflowPunct/>
        <w:topLinePunct w:val="0"/>
        <w:autoSpaceDE/>
        <w:autoSpaceDN/>
        <w:bidi w:val="0"/>
        <w:adjustRightInd/>
        <w:snapToGrid/>
        <w:spacing w:line="360" w:lineRule="exact"/>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4.4、</w:t>
      </w:r>
      <w:r>
        <w:rPr>
          <w:rFonts w:hint="eastAsia" w:ascii="宋体" w:hAnsi="宋体" w:eastAsia="宋体" w:cs="宋体"/>
          <w:b/>
          <w:color w:val="auto"/>
          <w:sz w:val="24"/>
          <w:szCs w:val="24"/>
          <w:highlight w:val="none"/>
          <w:lang w:eastAsia="zh-CN"/>
        </w:rPr>
        <w:t>中标供应商</w:t>
      </w:r>
      <w:r>
        <w:rPr>
          <w:rFonts w:hint="eastAsia" w:ascii="宋体" w:hAnsi="宋体" w:eastAsia="宋体" w:cs="宋体"/>
          <w:b/>
          <w:color w:val="auto"/>
          <w:sz w:val="24"/>
          <w:szCs w:val="24"/>
          <w:highlight w:val="none"/>
        </w:rPr>
        <w:t>须提供影像专业能力测评考核服务：提供对影像诊断、技术、护理网上考试平台，试题内容80% 为实操能力考核；可进行亚专科、难度、题型的定制；具有基本反抄袭能力。考核完成后需出具人员能力测评分析报告。</w:t>
      </w:r>
    </w:p>
    <w:p>
      <w:pPr>
        <w:pStyle w:val="1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shd w:val="clear" w:fill="FFFFFF"/>
        </w:rPr>
        <w:t>5、违约责任</w:t>
      </w:r>
    </w:p>
    <w:p>
      <w:pPr>
        <w:pStyle w:val="1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shd w:val="clear" w:fill="FFFFFF"/>
        </w:rPr>
        <w:t>5.1因</w:t>
      </w:r>
      <w:r>
        <w:rPr>
          <w:rFonts w:hint="eastAsia" w:ascii="宋体" w:hAnsi="宋体" w:eastAsia="宋体" w:cs="宋体"/>
          <w:b/>
          <w:color w:val="auto"/>
          <w:sz w:val="24"/>
          <w:szCs w:val="24"/>
          <w:highlight w:val="none"/>
          <w:shd w:val="clear" w:fill="FFFFFF"/>
          <w:lang w:eastAsia="zh-CN"/>
        </w:rPr>
        <w:t>中标供应商</w:t>
      </w:r>
      <w:r>
        <w:rPr>
          <w:rFonts w:hint="eastAsia" w:ascii="宋体" w:hAnsi="宋体" w:eastAsia="宋体" w:cs="宋体"/>
          <w:b/>
          <w:color w:val="auto"/>
          <w:sz w:val="24"/>
          <w:szCs w:val="24"/>
          <w:highlight w:val="none"/>
          <w:shd w:val="clear" w:fill="FFFFFF"/>
        </w:rPr>
        <w:t>原因造成采购合同无法按时签订，视为</w:t>
      </w:r>
      <w:r>
        <w:rPr>
          <w:rFonts w:hint="eastAsia" w:ascii="宋体" w:hAnsi="宋体" w:eastAsia="宋体" w:cs="宋体"/>
          <w:b/>
          <w:color w:val="auto"/>
          <w:sz w:val="24"/>
          <w:szCs w:val="24"/>
          <w:highlight w:val="none"/>
          <w:shd w:val="clear" w:fill="FFFFFF"/>
          <w:lang w:eastAsia="zh-CN"/>
        </w:rPr>
        <w:t>中标供应商</w:t>
      </w:r>
      <w:r>
        <w:rPr>
          <w:rFonts w:hint="eastAsia" w:ascii="宋体" w:hAnsi="宋体" w:eastAsia="宋体" w:cs="宋体"/>
          <w:b/>
          <w:color w:val="auto"/>
          <w:sz w:val="24"/>
          <w:szCs w:val="24"/>
          <w:highlight w:val="none"/>
          <w:shd w:val="clear" w:fill="FFFFFF"/>
        </w:rPr>
        <w:t>违约，</w:t>
      </w:r>
      <w:r>
        <w:rPr>
          <w:rFonts w:hint="eastAsia" w:ascii="宋体" w:hAnsi="宋体" w:eastAsia="宋体" w:cs="宋体"/>
          <w:b/>
          <w:color w:val="auto"/>
          <w:sz w:val="24"/>
          <w:szCs w:val="24"/>
          <w:highlight w:val="none"/>
          <w:shd w:val="clear" w:fill="FFFFFF"/>
          <w:lang w:eastAsia="zh-CN"/>
        </w:rPr>
        <w:t>中标供应商</w:t>
      </w:r>
      <w:r>
        <w:rPr>
          <w:rFonts w:hint="eastAsia" w:ascii="宋体" w:hAnsi="宋体" w:eastAsia="宋体" w:cs="宋体"/>
          <w:b/>
          <w:color w:val="auto"/>
          <w:sz w:val="24"/>
          <w:szCs w:val="24"/>
          <w:highlight w:val="none"/>
          <w:shd w:val="clear" w:fill="FFFFFF"/>
        </w:rPr>
        <w:t>违约对采购人造成的损失的，需另行支付相应的赔偿。</w:t>
      </w:r>
    </w:p>
    <w:p>
      <w:pPr>
        <w:pStyle w:val="1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shd w:val="clear" w:fill="FFFFFF"/>
        </w:rPr>
        <w:t>5.2在签订采购合同之后，有下列情形之一的，将视为</w:t>
      </w:r>
      <w:r>
        <w:rPr>
          <w:rFonts w:hint="eastAsia" w:ascii="宋体" w:hAnsi="宋体" w:eastAsia="宋体" w:cs="宋体"/>
          <w:b/>
          <w:color w:val="auto"/>
          <w:sz w:val="24"/>
          <w:szCs w:val="24"/>
          <w:highlight w:val="none"/>
          <w:shd w:val="clear" w:fill="FFFFFF"/>
          <w:lang w:eastAsia="zh-CN"/>
        </w:rPr>
        <w:t>中标供应商</w:t>
      </w:r>
      <w:r>
        <w:rPr>
          <w:rFonts w:hint="eastAsia" w:ascii="宋体" w:hAnsi="宋体" w:eastAsia="宋体" w:cs="宋体"/>
          <w:b/>
          <w:color w:val="auto"/>
          <w:sz w:val="24"/>
          <w:szCs w:val="24"/>
          <w:highlight w:val="none"/>
          <w:shd w:val="clear" w:fill="FFFFFF"/>
        </w:rPr>
        <w:t>违约，采购人有权要求</w:t>
      </w:r>
      <w:r>
        <w:rPr>
          <w:rFonts w:hint="eastAsia" w:ascii="宋体" w:hAnsi="宋体" w:eastAsia="宋体" w:cs="宋体"/>
          <w:b/>
          <w:color w:val="auto"/>
          <w:sz w:val="24"/>
          <w:szCs w:val="24"/>
          <w:highlight w:val="none"/>
          <w:shd w:val="clear" w:fill="FFFFFF"/>
          <w:lang w:eastAsia="zh-CN"/>
        </w:rPr>
        <w:t>中标供应商</w:t>
      </w:r>
      <w:r>
        <w:rPr>
          <w:rFonts w:hint="eastAsia" w:ascii="宋体" w:hAnsi="宋体" w:eastAsia="宋体" w:cs="宋体"/>
          <w:b/>
          <w:color w:val="auto"/>
          <w:sz w:val="24"/>
          <w:szCs w:val="24"/>
          <w:highlight w:val="none"/>
          <w:shd w:val="clear" w:fill="FFFFFF"/>
        </w:rPr>
        <w:t>支付违约金，并直接从</w:t>
      </w:r>
      <w:r>
        <w:rPr>
          <w:rFonts w:hint="eastAsia" w:ascii="宋体" w:hAnsi="宋体" w:eastAsia="宋体" w:cs="宋体"/>
          <w:b/>
          <w:color w:val="auto"/>
          <w:sz w:val="24"/>
          <w:szCs w:val="24"/>
          <w:highlight w:val="none"/>
          <w:shd w:val="clear" w:fill="FFFFFF"/>
        </w:rPr>
        <w:t>履约保证金</w:t>
      </w:r>
      <w:r>
        <w:rPr>
          <w:rFonts w:hint="eastAsia" w:ascii="宋体" w:hAnsi="宋体" w:eastAsia="宋体" w:cs="宋体"/>
          <w:b/>
          <w:color w:val="auto"/>
          <w:sz w:val="24"/>
          <w:szCs w:val="24"/>
          <w:highlight w:val="none"/>
          <w:shd w:val="clear" w:fill="FFFFFF"/>
        </w:rPr>
        <w:t>及剩余合同价款中予以抵扣；若</w:t>
      </w:r>
      <w:r>
        <w:rPr>
          <w:rFonts w:hint="eastAsia" w:ascii="宋体" w:hAnsi="宋体" w:eastAsia="宋体" w:cs="宋体"/>
          <w:b/>
          <w:color w:val="auto"/>
          <w:sz w:val="24"/>
          <w:szCs w:val="24"/>
          <w:highlight w:val="none"/>
          <w:shd w:val="clear" w:fill="FFFFFF"/>
        </w:rPr>
        <w:t>履约保证金</w:t>
      </w:r>
      <w:r>
        <w:rPr>
          <w:rFonts w:hint="eastAsia" w:ascii="宋体" w:hAnsi="宋体" w:eastAsia="宋体" w:cs="宋体"/>
          <w:b/>
          <w:color w:val="auto"/>
          <w:sz w:val="24"/>
          <w:szCs w:val="24"/>
          <w:highlight w:val="none"/>
          <w:shd w:val="clear" w:fill="FFFFFF"/>
        </w:rPr>
        <w:t>及剩余合同价款不足，采购人有权进一步提出追索和索赔：</w:t>
      </w:r>
    </w:p>
    <w:p>
      <w:pPr>
        <w:pStyle w:val="19"/>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shd w:val="clear" w:fill="FFFFFF"/>
        </w:rPr>
        <w:t>5.2.1签订合同后，</w:t>
      </w:r>
      <w:r>
        <w:rPr>
          <w:rFonts w:hint="eastAsia" w:ascii="宋体" w:hAnsi="宋体" w:eastAsia="宋体" w:cs="宋体"/>
          <w:b/>
          <w:color w:val="auto"/>
          <w:sz w:val="24"/>
          <w:szCs w:val="24"/>
          <w:highlight w:val="none"/>
          <w:shd w:val="clear" w:fill="FFFFFF"/>
          <w:lang w:eastAsia="zh-CN"/>
        </w:rPr>
        <w:t>中标供应商</w:t>
      </w:r>
      <w:r>
        <w:rPr>
          <w:rFonts w:hint="eastAsia" w:ascii="宋体" w:hAnsi="宋体" w:eastAsia="宋体" w:cs="宋体"/>
          <w:b/>
          <w:color w:val="auto"/>
          <w:sz w:val="24"/>
          <w:szCs w:val="24"/>
          <w:highlight w:val="none"/>
          <w:shd w:val="clear" w:fill="FFFFFF"/>
        </w:rPr>
        <w:t>未按合同规定提供货物或服务的；</w:t>
      </w:r>
    </w:p>
    <w:p>
      <w:pPr>
        <w:pStyle w:val="19"/>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shd w:val="clear" w:fill="FFFFFF"/>
        </w:rPr>
        <w:t>5.2.2</w:t>
      </w:r>
      <w:r>
        <w:rPr>
          <w:rFonts w:hint="eastAsia" w:ascii="宋体" w:hAnsi="宋体" w:eastAsia="宋体" w:cs="宋体"/>
          <w:b/>
          <w:color w:val="auto"/>
          <w:sz w:val="24"/>
          <w:szCs w:val="24"/>
          <w:highlight w:val="none"/>
          <w:shd w:val="clear" w:fill="FFFFFF"/>
          <w:lang w:eastAsia="zh-CN"/>
        </w:rPr>
        <w:t>中标供应商</w:t>
      </w:r>
      <w:r>
        <w:rPr>
          <w:rFonts w:hint="eastAsia" w:ascii="宋体" w:hAnsi="宋体" w:eastAsia="宋体" w:cs="宋体"/>
          <w:b/>
          <w:color w:val="auto"/>
          <w:sz w:val="24"/>
          <w:szCs w:val="24"/>
          <w:highlight w:val="none"/>
          <w:shd w:val="clear" w:fill="FFFFFF"/>
        </w:rPr>
        <w:t>逾期提交材料的，每逾期一天，按合同价格的万分之五偿付违约金；</w:t>
      </w:r>
    </w:p>
    <w:p>
      <w:pPr>
        <w:pStyle w:val="19"/>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shd w:val="clear" w:fill="FFFFFF"/>
        </w:rPr>
        <w:t>5.2.3</w:t>
      </w:r>
      <w:r>
        <w:rPr>
          <w:rFonts w:hint="eastAsia" w:ascii="宋体" w:hAnsi="宋体" w:eastAsia="宋体" w:cs="宋体"/>
          <w:b/>
          <w:color w:val="auto"/>
          <w:sz w:val="24"/>
          <w:szCs w:val="24"/>
          <w:highlight w:val="none"/>
          <w:shd w:val="clear" w:fill="FFFFFF"/>
          <w:lang w:eastAsia="zh-CN"/>
        </w:rPr>
        <w:t>中标供应商</w:t>
      </w:r>
      <w:r>
        <w:rPr>
          <w:rFonts w:hint="eastAsia" w:ascii="宋体" w:hAnsi="宋体" w:eastAsia="宋体" w:cs="宋体"/>
          <w:b/>
          <w:color w:val="auto"/>
          <w:sz w:val="24"/>
          <w:szCs w:val="24"/>
          <w:highlight w:val="none"/>
          <w:shd w:val="clear" w:fill="FFFFFF"/>
        </w:rPr>
        <w:t>不能交货或不能完成合同所约定服务的（不可抗力因素造成的除外）；</w:t>
      </w:r>
    </w:p>
    <w:p>
      <w:pPr>
        <w:pStyle w:val="19"/>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shd w:val="clear" w:fill="FFFFFF"/>
        </w:rPr>
        <w:t>5.2.4</w:t>
      </w:r>
      <w:r>
        <w:rPr>
          <w:rFonts w:hint="eastAsia" w:ascii="宋体" w:hAnsi="宋体" w:eastAsia="宋体" w:cs="宋体"/>
          <w:b/>
          <w:color w:val="auto"/>
          <w:sz w:val="24"/>
          <w:szCs w:val="24"/>
          <w:highlight w:val="none"/>
          <w:shd w:val="clear" w:fill="FFFFFF"/>
          <w:lang w:eastAsia="zh-CN"/>
        </w:rPr>
        <w:t>中标供应商</w:t>
      </w:r>
      <w:r>
        <w:rPr>
          <w:rFonts w:hint="eastAsia" w:ascii="宋体" w:hAnsi="宋体" w:eastAsia="宋体" w:cs="宋体"/>
          <w:b/>
          <w:color w:val="auto"/>
          <w:sz w:val="24"/>
          <w:szCs w:val="24"/>
          <w:highlight w:val="none"/>
          <w:shd w:val="clear" w:fill="FFFFFF"/>
        </w:rPr>
        <w:t>未能按合同规定履行其义务的；</w:t>
      </w:r>
    </w:p>
    <w:p>
      <w:pPr>
        <w:pStyle w:val="19"/>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shd w:val="clear" w:fill="FFFFFF"/>
        </w:rPr>
        <w:t>5.2.5在签订采购合同之后，</w:t>
      </w:r>
      <w:r>
        <w:rPr>
          <w:rFonts w:hint="eastAsia" w:ascii="宋体" w:hAnsi="宋体" w:eastAsia="宋体" w:cs="宋体"/>
          <w:b/>
          <w:color w:val="auto"/>
          <w:sz w:val="24"/>
          <w:szCs w:val="24"/>
          <w:highlight w:val="none"/>
          <w:shd w:val="clear" w:fill="FFFFFF"/>
          <w:lang w:eastAsia="zh-CN"/>
        </w:rPr>
        <w:t>中标供应商</w:t>
      </w:r>
      <w:r>
        <w:rPr>
          <w:rFonts w:hint="eastAsia" w:ascii="宋体" w:hAnsi="宋体" w:eastAsia="宋体" w:cs="宋体"/>
          <w:b/>
          <w:color w:val="auto"/>
          <w:sz w:val="24"/>
          <w:szCs w:val="24"/>
          <w:highlight w:val="none"/>
          <w:shd w:val="clear" w:fill="FFFFFF"/>
        </w:rPr>
        <w:t>要求解除合同的。</w:t>
      </w:r>
    </w:p>
    <w:p>
      <w:pPr>
        <w:pStyle w:val="19"/>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shd w:val="clear" w:fill="FFFFFF"/>
        </w:rPr>
        <w:t>5.3本合同所有服务，都必须由</w:t>
      </w:r>
      <w:r>
        <w:rPr>
          <w:rFonts w:hint="eastAsia" w:ascii="宋体" w:hAnsi="宋体" w:eastAsia="宋体" w:cs="宋体"/>
          <w:b/>
          <w:color w:val="auto"/>
          <w:sz w:val="24"/>
          <w:szCs w:val="24"/>
          <w:highlight w:val="none"/>
          <w:shd w:val="clear" w:fill="FFFFFF"/>
          <w:lang w:eastAsia="zh-CN"/>
        </w:rPr>
        <w:t>中标供应商</w:t>
      </w:r>
      <w:r>
        <w:rPr>
          <w:rFonts w:hint="eastAsia" w:ascii="宋体" w:hAnsi="宋体" w:eastAsia="宋体" w:cs="宋体"/>
          <w:b/>
          <w:color w:val="auto"/>
          <w:sz w:val="24"/>
          <w:szCs w:val="24"/>
          <w:highlight w:val="none"/>
          <w:shd w:val="clear" w:fill="FFFFFF"/>
        </w:rPr>
        <w:t>自己或在投标文件中明确的单位承担，不得以任何名义和理由进行分包或转包。如有发现，视为</w:t>
      </w:r>
      <w:r>
        <w:rPr>
          <w:rFonts w:hint="eastAsia" w:ascii="宋体" w:hAnsi="宋体" w:eastAsia="宋体" w:cs="宋体"/>
          <w:b/>
          <w:color w:val="auto"/>
          <w:sz w:val="24"/>
          <w:szCs w:val="24"/>
          <w:highlight w:val="none"/>
          <w:shd w:val="clear" w:fill="FFFFFF"/>
          <w:lang w:eastAsia="zh-CN"/>
        </w:rPr>
        <w:t>中标供应商</w:t>
      </w:r>
      <w:r>
        <w:rPr>
          <w:rFonts w:hint="eastAsia" w:ascii="宋体" w:hAnsi="宋体" w:eastAsia="宋体" w:cs="宋体"/>
          <w:b/>
          <w:color w:val="auto"/>
          <w:sz w:val="24"/>
          <w:szCs w:val="24"/>
          <w:highlight w:val="none"/>
          <w:shd w:val="clear" w:fill="FFFFFF"/>
        </w:rPr>
        <w:t>违约，采购人有权单方终止合同，对采购人造成损失的，需另行支付相应的赔偿。</w:t>
      </w:r>
    </w:p>
    <w:p>
      <w:pPr>
        <w:pStyle w:val="19"/>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shd w:val="clear" w:fill="FFFFFF"/>
        </w:rPr>
        <w:t>5.4</w:t>
      </w:r>
      <w:r>
        <w:rPr>
          <w:rFonts w:hint="eastAsia" w:ascii="宋体" w:hAnsi="宋体" w:eastAsia="宋体" w:cs="宋体"/>
          <w:b/>
          <w:color w:val="auto"/>
          <w:sz w:val="24"/>
          <w:szCs w:val="24"/>
          <w:highlight w:val="none"/>
          <w:shd w:val="clear" w:fill="FFFFFF"/>
          <w:lang w:eastAsia="zh-CN"/>
        </w:rPr>
        <w:t>中标供应商</w:t>
      </w:r>
      <w:r>
        <w:rPr>
          <w:rFonts w:hint="eastAsia" w:ascii="宋体" w:hAnsi="宋体" w:eastAsia="宋体" w:cs="宋体"/>
          <w:b/>
          <w:color w:val="auto"/>
          <w:sz w:val="24"/>
          <w:szCs w:val="24"/>
          <w:highlight w:val="none"/>
          <w:shd w:val="clear" w:fill="FFFFFF"/>
        </w:rPr>
        <w:t>逾期完成任何一项服务内容达10日的，采购人有权委托第三方完成部分或全部工作，相关费用直接从采购人应向</w:t>
      </w:r>
      <w:r>
        <w:rPr>
          <w:rFonts w:hint="eastAsia" w:ascii="宋体" w:hAnsi="宋体" w:eastAsia="宋体" w:cs="宋体"/>
          <w:b/>
          <w:color w:val="auto"/>
          <w:sz w:val="24"/>
          <w:szCs w:val="24"/>
          <w:highlight w:val="none"/>
          <w:shd w:val="clear" w:fill="FFFFFF"/>
          <w:lang w:eastAsia="zh-CN"/>
        </w:rPr>
        <w:t>中标供应商</w:t>
      </w:r>
      <w:r>
        <w:rPr>
          <w:rFonts w:hint="eastAsia" w:ascii="宋体" w:hAnsi="宋体" w:eastAsia="宋体" w:cs="宋体"/>
          <w:b/>
          <w:color w:val="auto"/>
          <w:sz w:val="24"/>
          <w:szCs w:val="24"/>
          <w:highlight w:val="none"/>
          <w:shd w:val="clear" w:fill="FFFFFF"/>
        </w:rPr>
        <w:t>支付的合同价款中予以扣除；同时，采购人有权选择解除合同，并要求</w:t>
      </w:r>
      <w:r>
        <w:rPr>
          <w:rFonts w:hint="eastAsia" w:ascii="宋体" w:hAnsi="宋体" w:eastAsia="宋体" w:cs="宋体"/>
          <w:b/>
          <w:color w:val="auto"/>
          <w:sz w:val="24"/>
          <w:szCs w:val="24"/>
          <w:highlight w:val="none"/>
          <w:shd w:val="clear" w:fill="FFFFFF"/>
          <w:lang w:eastAsia="zh-CN"/>
        </w:rPr>
        <w:t>中标供应商</w:t>
      </w:r>
      <w:r>
        <w:rPr>
          <w:rFonts w:hint="eastAsia" w:ascii="宋体" w:hAnsi="宋体" w:eastAsia="宋体" w:cs="宋体"/>
          <w:b/>
          <w:color w:val="auto"/>
          <w:sz w:val="24"/>
          <w:szCs w:val="24"/>
          <w:highlight w:val="none"/>
          <w:shd w:val="clear" w:fill="FFFFFF"/>
        </w:rPr>
        <w:t>赔偿由此给采购人造成的一切损失。</w:t>
      </w:r>
    </w:p>
    <w:p>
      <w:pPr>
        <w:pStyle w:val="19"/>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shd w:val="clear" w:fill="FFFFFF"/>
        </w:rPr>
        <w:t>5.5因</w:t>
      </w:r>
      <w:r>
        <w:rPr>
          <w:rFonts w:hint="eastAsia" w:ascii="宋体" w:hAnsi="宋体" w:eastAsia="宋体" w:cs="宋体"/>
          <w:b/>
          <w:color w:val="auto"/>
          <w:sz w:val="24"/>
          <w:szCs w:val="24"/>
          <w:highlight w:val="none"/>
          <w:shd w:val="clear" w:fill="FFFFFF"/>
          <w:lang w:eastAsia="zh-CN"/>
        </w:rPr>
        <w:t>中标供应商</w:t>
      </w:r>
      <w:r>
        <w:rPr>
          <w:rFonts w:hint="eastAsia" w:ascii="宋体" w:hAnsi="宋体" w:eastAsia="宋体" w:cs="宋体"/>
          <w:b/>
          <w:color w:val="auto"/>
          <w:sz w:val="24"/>
          <w:szCs w:val="24"/>
          <w:highlight w:val="none"/>
          <w:shd w:val="clear" w:fill="FFFFFF"/>
        </w:rPr>
        <w:t>原因发生重大质量事故，除依约承担赔偿责任外，还将按有关质量管理办法规定执行。同时，采购人有权保留更换</w:t>
      </w:r>
      <w:r>
        <w:rPr>
          <w:rFonts w:hint="eastAsia" w:ascii="宋体" w:hAnsi="宋体" w:eastAsia="宋体" w:cs="宋体"/>
          <w:b/>
          <w:color w:val="auto"/>
          <w:sz w:val="24"/>
          <w:szCs w:val="24"/>
          <w:highlight w:val="none"/>
          <w:shd w:val="clear" w:fill="FFFFFF"/>
          <w:lang w:eastAsia="zh-CN"/>
        </w:rPr>
        <w:t>中标供应商</w:t>
      </w:r>
      <w:r>
        <w:rPr>
          <w:rFonts w:hint="eastAsia" w:ascii="宋体" w:hAnsi="宋体" w:eastAsia="宋体" w:cs="宋体"/>
          <w:b/>
          <w:color w:val="auto"/>
          <w:sz w:val="24"/>
          <w:szCs w:val="24"/>
          <w:highlight w:val="none"/>
          <w:shd w:val="clear" w:fill="FFFFFF"/>
        </w:rPr>
        <w:t>的权利，并报相关行政主管部门处罚。</w:t>
      </w:r>
    </w:p>
    <w:p>
      <w:pPr>
        <w:pStyle w:val="19"/>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shd w:val="clear" w:fill="FFFFFF"/>
        </w:rPr>
        <w:t>5.6若发生死亡安全事故，除按国家有关安全管理规定及采购人有关安全管理办法执行外，还将报相关行政主管部门处罚。发生重大安全事故或特大安全事故，除按国家有关安全管理规定及采购人有关安全管理办法执行外，采购人有权终止合同，给采购人造成的损失，还应承担赔偿责任。</w:t>
      </w:r>
    </w:p>
    <w:p>
      <w:pPr>
        <w:pStyle w:val="19"/>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shd w:val="clear" w:fill="FFFFFF"/>
        </w:rPr>
        <w:t>5.7在明确违约责任后，</w:t>
      </w:r>
      <w:r>
        <w:rPr>
          <w:rFonts w:hint="eastAsia" w:ascii="宋体" w:hAnsi="宋体" w:eastAsia="宋体" w:cs="宋体"/>
          <w:b/>
          <w:color w:val="auto"/>
          <w:sz w:val="24"/>
          <w:szCs w:val="24"/>
          <w:highlight w:val="none"/>
          <w:shd w:val="clear" w:fill="FFFFFF"/>
          <w:lang w:eastAsia="zh-CN"/>
        </w:rPr>
        <w:t>中标供应商</w:t>
      </w:r>
      <w:r>
        <w:rPr>
          <w:rFonts w:hint="eastAsia" w:ascii="宋体" w:hAnsi="宋体" w:eastAsia="宋体" w:cs="宋体"/>
          <w:b/>
          <w:color w:val="auto"/>
          <w:sz w:val="24"/>
          <w:szCs w:val="24"/>
          <w:highlight w:val="none"/>
          <w:shd w:val="clear" w:fill="FFFFFF"/>
        </w:rPr>
        <w:t>应在接到书面通知书起七天内支付违约金、赔偿金等。</w:t>
      </w:r>
    </w:p>
    <w:p>
      <w:pPr>
        <w:pStyle w:val="1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shd w:val="clear" w:fill="FFFFFF"/>
        </w:rPr>
        <w:t>6、违约终止合同</w:t>
      </w:r>
    </w:p>
    <w:p>
      <w:pPr>
        <w:pStyle w:val="1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shd w:val="clear" w:fill="FFFFFF"/>
        </w:rPr>
        <w:t>6.1在合同履行期间，若遇到政府部门或上级单位出台有关该项目的政策调整，继续履行合同将违反相关政策文件要求的，采购人须提前30日通知</w:t>
      </w:r>
      <w:r>
        <w:rPr>
          <w:rFonts w:hint="eastAsia" w:ascii="宋体" w:hAnsi="宋体" w:eastAsia="宋体" w:cs="宋体"/>
          <w:b/>
          <w:color w:val="auto"/>
          <w:sz w:val="24"/>
          <w:szCs w:val="24"/>
          <w:highlight w:val="none"/>
          <w:shd w:val="clear" w:fill="FFFFFF"/>
          <w:lang w:eastAsia="zh-CN"/>
        </w:rPr>
        <w:t>中标供应商</w:t>
      </w:r>
      <w:r>
        <w:rPr>
          <w:rFonts w:hint="eastAsia" w:ascii="宋体" w:hAnsi="宋体" w:eastAsia="宋体" w:cs="宋体"/>
          <w:b/>
          <w:color w:val="auto"/>
          <w:sz w:val="24"/>
          <w:szCs w:val="24"/>
          <w:highlight w:val="none"/>
          <w:shd w:val="clear" w:fill="FFFFFF"/>
        </w:rPr>
        <w:t>终止合同，因此造成的合同解除采购人不承担违约责任。</w:t>
      </w:r>
    </w:p>
    <w:p>
      <w:pPr>
        <w:pStyle w:val="1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shd w:val="clear" w:fill="FFFFFF"/>
        </w:rPr>
        <w:t>6.2</w:t>
      </w:r>
      <w:r>
        <w:rPr>
          <w:rFonts w:hint="eastAsia" w:ascii="宋体" w:hAnsi="宋体" w:eastAsia="宋体" w:cs="宋体"/>
          <w:b/>
          <w:color w:val="auto"/>
          <w:sz w:val="24"/>
          <w:szCs w:val="24"/>
          <w:highlight w:val="none"/>
          <w:shd w:val="clear" w:fill="FFFFFF"/>
        </w:rPr>
        <w:t>有下列情形之一</w:t>
      </w:r>
      <w:r>
        <w:rPr>
          <w:rFonts w:hint="eastAsia" w:ascii="宋体" w:hAnsi="宋体" w:eastAsia="宋体" w:cs="宋体"/>
          <w:b/>
          <w:color w:val="auto"/>
          <w:sz w:val="24"/>
          <w:szCs w:val="24"/>
          <w:highlight w:val="none"/>
          <w:shd w:val="clear" w:fill="FFFFFF"/>
        </w:rPr>
        <w:t>，采购人有权单方解除合同，</w:t>
      </w:r>
      <w:r>
        <w:rPr>
          <w:rFonts w:hint="eastAsia" w:ascii="宋体" w:hAnsi="宋体" w:eastAsia="宋体" w:cs="宋体"/>
          <w:b/>
          <w:color w:val="auto"/>
          <w:sz w:val="24"/>
          <w:szCs w:val="24"/>
          <w:highlight w:val="none"/>
          <w:shd w:val="clear" w:fill="FFFFFF"/>
          <w:lang w:eastAsia="zh-CN"/>
        </w:rPr>
        <w:t>中标供应商</w:t>
      </w:r>
      <w:r>
        <w:rPr>
          <w:rFonts w:hint="eastAsia" w:ascii="宋体" w:hAnsi="宋体" w:eastAsia="宋体" w:cs="宋体"/>
          <w:b/>
          <w:color w:val="auto"/>
          <w:sz w:val="24"/>
          <w:szCs w:val="24"/>
          <w:highlight w:val="none"/>
          <w:shd w:val="clear" w:fill="FFFFFF"/>
        </w:rPr>
        <w:t>还需向采购人支付合同金额30%的违约金。</w:t>
      </w:r>
    </w:p>
    <w:p>
      <w:pPr>
        <w:pStyle w:val="1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shd w:val="clear" w:fill="FFFFFF"/>
        </w:rPr>
        <w:t>6.2.1</w:t>
      </w:r>
      <w:r>
        <w:rPr>
          <w:rFonts w:hint="eastAsia" w:ascii="宋体" w:hAnsi="宋体" w:eastAsia="宋体" w:cs="宋体"/>
          <w:b/>
          <w:color w:val="auto"/>
          <w:sz w:val="24"/>
          <w:szCs w:val="24"/>
          <w:highlight w:val="none"/>
          <w:shd w:val="clear" w:fill="FFFFFF"/>
          <w:lang w:eastAsia="zh-CN"/>
        </w:rPr>
        <w:t>中标供应商</w:t>
      </w:r>
      <w:r>
        <w:rPr>
          <w:rFonts w:hint="eastAsia" w:ascii="宋体" w:hAnsi="宋体" w:eastAsia="宋体" w:cs="宋体"/>
          <w:b/>
          <w:color w:val="auto"/>
          <w:sz w:val="24"/>
          <w:szCs w:val="24"/>
          <w:highlight w:val="none"/>
          <w:shd w:val="clear" w:fill="FFFFFF"/>
        </w:rPr>
        <w:t>提供的服务不符合合同约定且拒绝提供服务的；</w:t>
      </w:r>
    </w:p>
    <w:p>
      <w:pPr>
        <w:pStyle w:val="1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shd w:val="clear" w:fill="FFFFFF"/>
        </w:rPr>
        <w:t>6.2.2</w:t>
      </w:r>
      <w:r>
        <w:rPr>
          <w:rFonts w:hint="eastAsia" w:ascii="宋体" w:hAnsi="宋体" w:eastAsia="宋体" w:cs="宋体"/>
          <w:b/>
          <w:color w:val="auto"/>
          <w:sz w:val="24"/>
          <w:szCs w:val="24"/>
          <w:highlight w:val="none"/>
          <w:shd w:val="clear" w:fill="FFFFFF"/>
          <w:lang w:eastAsia="zh-CN"/>
        </w:rPr>
        <w:t>中标供应商</w:t>
      </w:r>
      <w:r>
        <w:rPr>
          <w:rFonts w:hint="eastAsia" w:ascii="宋体" w:hAnsi="宋体" w:eastAsia="宋体" w:cs="宋体"/>
          <w:b/>
          <w:color w:val="auto"/>
          <w:sz w:val="24"/>
          <w:szCs w:val="24"/>
          <w:highlight w:val="none"/>
          <w:shd w:val="clear" w:fill="FFFFFF"/>
        </w:rPr>
        <w:t>出现3次以上提供的服务不符合合同约定的；</w:t>
      </w:r>
    </w:p>
    <w:p>
      <w:pPr>
        <w:pStyle w:val="1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shd w:val="clear" w:fill="FFFFFF"/>
        </w:rPr>
        <w:t>6.2.3</w:t>
      </w:r>
      <w:r>
        <w:rPr>
          <w:rFonts w:hint="eastAsia" w:ascii="宋体" w:hAnsi="宋体" w:eastAsia="宋体" w:cs="宋体"/>
          <w:b/>
          <w:color w:val="auto"/>
          <w:sz w:val="24"/>
          <w:szCs w:val="24"/>
          <w:highlight w:val="none"/>
          <w:shd w:val="clear" w:fill="FFFFFF"/>
          <w:lang w:eastAsia="zh-CN"/>
        </w:rPr>
        <w:t>中标供应商</w:t>
      </w:r>
      <w:r>
        <w:rPr>
          <w:rFonts w:hint="eastAsia" w:ascii="宋体" w:hAnsi="宋体" w:eastAsia="宋体" w:cs="宋体"/>
          <w:b/>
          <w:color w:val="auto"/>
          <w:sz w:val="24"/>
          <w:szCs w:val="24"/>
          <w:highlight w:val="none"/>
          <w:shd w:val="clear" w:fill="FFFFFF"/>
        </w:rPr>
        <w:t>无故拒绝履行合同；</w:t>
      </w:r>
    </w:p>
    <w:p>
      <w:pPr>
        <w:pStyle w:val="19"/>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shd w:val="clear" w:fill="FFFFFF"/>
        </w:rPr>
        <w:t>违约金直接从采购人应支付</w:t>
      </w:r>
      <w:r>
        <w:rPr>
          <w:rFonts w:hint="eastAsia" w:ascii="宋体" w:hAnsi="宋体" w:eastAsia="宋体" w:cs="宋体"/>
          <w:b/>
          <w:color w:val="auto"/>
          <w:sz w:val="24"/>
          <w:szCs w:val="24"/>
          <w:highlight w:val="none"/>
          <w:shd w:val="clear" w:fill="FFFFFF"/>
          <w:lang w:eastAsia="zh-CN"/>
        </w:rPr>
        <w:t>中标供应商</w:t>
      </w:r>
      <w:r>
        <w:rPr>
          <w:rFonts w:hint="eastAsia" w:ascii="宋体" w:hAnsi="宋体" w:eastAsia="宋体" w:cs="宋体"/>
          <w:b/>
          <w:color w:val="auto"/>
          <w:sz w:val="24"/>
          <w:szCs w:val="24"/>
          <w:highlight w:val="none"/>
          <w:shd w:val="clear" w:fill="FFFFFF"/>
        </w:rPr>
        <w:t>的费用中扣除，不足部分，</w:t>
      </w:r>
      <w:r>
        <w:rPr>
          <w:rFonts w:hint="eastAsia" w:ascii="宋体" w:hAnsi="宋体" w:eastAsia="宋体" w:cs="宋体"/>
          <w:b/>
          <w:color w:val="auto"/>
          <w:sz w:val="24"/>
          <w:szCs w:val="24"/>
          <w:highlight w:val="none"/>
          <w:shd w:val="clear" w:fill="FFFFFF"/>
          <w:lang w:eastAsia="zh-CN"/>
        </w:rPr>
        <w:t>中标供应商</w:t>
      </w:r>
      <w:r>
        <w:rPr>
          <w:rFonts w:hint="eastAsia" w:ascii="宋体" w:hAnsi="宋体" w:eastAsia="宋体" w:cs="宋体"/>
          <w:b/>
          <w:color w:val="auto"/>
          <w:sz w:val="24"/>
          <w:szCs w:val="24"/>
          <w:highlight w:val="none"/>
          <w:shd w:val="clear" w:fill="FFFFFF"/>
        </w:rPr>
        <w:t>应自收到采购人通知之日起10日内缴纳。</w:t>
      </w:r>
    </w:p>
    <w:p>
      <w:pPr>
        <w:pStyle w:val="19"/>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shd w:val="clear" w:fill="FFFFFF"/>
        </w:rPr>
        <w:t>7、不可抗力</w:t>
      </w:r>
    </w:p>
    <w:p>
      <w:pPr>
        <w:pStyle w:val="1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shd w:val="clear" w:fill="FFFFFF"/>
        </w:rPr>
        <w:t>7.1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pStyle w:val="19"/>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shd w:val="clear" w:fill="FFFFFF"/>
        </w:rPr>
        <w:t>7.2合同中的不可抗力指不能预见、不能避免并不能克服的客观情况。包括但不限于：自然灾害如地震、台风、洪水、火灾；政府行为、法律规定或其适用的变化或者其他任何无法预见、避免或者控制的事件。</w:t>
      </w:r>
    </w:p>
    <w:p>
      <w:pPr>
        <w:pStyle w:val="19"/>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shd w:val="clear" w:fill="FFFFFF"/>
        </w:rPr>
        <w:t>8、专利权及知识产权</w:t>
      </w:r>
    </w:p>
    <w:p>
      <w:pPr>
        <w:pStyle w:val="19"/>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shd w:val="clear" w:fill="FFFFFF"/>
          <w:lang w:eastAsia="zh-CN"/>
        </w:rPr>
        <w:t>中标供应商</w:t>
      </w:r>
      <w:r>
        <w:rPr>
          <w:rFonts w:hint="eastAsia" w:ascii="宋体" w:hAnsi="宋体" w:eastAsia="宋体" w:cs="宋体"/>
          <w:b/>
          <w:color w:val="auto"/>
          <w:sz w:val="24"/>
          <w:szCs w:val="24"/>
          <w:highlight w:val="none"/>
          <w:shd w:val="clear" w:fill="FFFFFF"/>
        </w:rPr>
        <w:t>须保障采购人在接受服务过程中不受到第三方关于侵犯专</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shd w:val="clear" w:fill="FFFFFF"/>
        </w:rPr>
        <w:t>利权、商标权或工业设</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shd w:val="clear" w:fill="FFFFFF"/>
        </w:rPr>
        <w:t>计权等知识产权的指控。如果任何第三方提出侵权指控与采购人无关，</w:t>
      </w:r>
      <w:r>
        <w:rPr>
          <w:rFonts w:hint="eastAsia" w:ascii="宋体" w:hAnsi="宋体" w:eastAsia="宋体" w:cs="宋体"/>
          <w:b/>
          <w:color w:val="auto"/>
          <w:sz w:val="24"/>
          <w:szCs w:val="24"/>
          <w:highlight w:val="none"/>
          <w:shd w:val="clear" w:fill="FFFFFF"/>
          <w:lang w:eastAsia="zh-CN"/>
        </w:rPr>
        <w:t>中标供应商</w:t>
      </w:r>
      <w:r>
        <w:rPr>
          <w:rFonts w:hint="eastAsia" w:ascii="宋体" w:hAnsi="宋体" w:eastAsia="宋体" w:cs="宋体"/>
          <w:b/>
          <w:color w:val="auto"/>
          <w:sz w:val="24"/>
          <w:szCs w:val="24"/>
          <w:highlight w:val="none"/>
          <w:shd w:val="clear" w:fill="FFFFFF"/>
        </w:rPr>
        <w:t>须与第三方交涉并承担可能发生的责任与一切费用。如采购人因此而</w:t>
      </w:r>
      <w:r>
        <w:rPr>
          <w:rFonts w:hint="eastAsia" w:ascii="宋体" w:hAnsi="宋体" w:eastAsia="宋体" w:cs="宋体"/>
          <w:b/>
          <w:color w:val="auto"/>
          <w:sz w:val="24"/>
          <w:szCs w:val="24"/>
          <w:highlight w:val="none"/>
          <w:shd w:val="clear" w:fill="FFFFFF"/>
        </w:rPr>
        <w:t>遭致</w:t>
      </w:r>
      <w:r>
        <w:rPr>
          <w:rFonts w:hint="eastAsia" w:ascii="宋体" w:hAnsi="宋体" w:eastAsia="宋体" w:cs="宋体"/>
          <w:b/>
          <w:color w:val="auto"/>
          <w:sz w:val="24"/>
          <w:szCs w:val="24"/>
          <w:highlight w:val="none"/>
          <w:shd w:val="clear" w:fill="FFFFFF"/>
        </w:rPr>
        <w:t>损失的，</w:t>
      </w:r>
      <w:r>
        <w:rPr>
          <w:rFonts w:hint="eastAsia" w:ascii="宋体" w:hAnsi="宋体" w:eastAsia="宋体" w:cs="宋体"/>
          <w:b/>
          <w:color w:val="auto"/>
          <w:sz w:val="24"/>
          <w:szCs w:val="24"/>
          <w:highlight w:val="none"/>
          <w:shd w:val="clear" w:fill="FFFFFF"/>
          <w:lang w:eastAsia="zh-CN"/>
        </w:rPr>
        <w:t>中标供应商</w:t>
      </w:r>
      <w:r>
        <w:rPr>
          <w:rFonts w:hint="eastAsia" w:ascii="宋体" w:hAnsi="宋体" w:eastAsia="宋体" w:cs="宋体"/>
          <w:b/>
          <w:color w:val="auto"/>
          <w:sz w:val="24"/>
          <w:szCs w:val="24"/>
          <w:highlight w:val="none"/>
          <w:shd w:val="clear" w:fill="FFFFFF"/>
        </w:rPr>
        <w:t>应赔偿该损失。</w:t>
      </w:r>
    </w:p>
    <w:p>
      <w:pPr>
        <w:pStyle w:val="19"/>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shd w:val="clear" w:fill="FFFFFF"/>
        </w:rPr>
        <w:t>9、保密条款</w:t>
      </w:r>
    </w:p>
    <w:p>
      <w:pPr>
        <w:pStyle w:val="1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shd w:val="clear" w:fill="FFFFFF"/>
        </w:rPr>
        <w:t>9.1</w:t>
      </w:r>
      <w:r>
        <w:rPr>
          <w:rFonts w:hint="eastAsia" w:ascii="宋体" w:hAnsi="宋体" w:eastAsia="宋体" w:cs="宋体"/>
          <w:b/>
          <w:color w:val="auto"/>
          <w:sz w:val="24"/>
          <w:szCs w:val="24"/>
          <w:highlight w:val="none"/>
          <w:shd w:val="clear" w:fill="FFFFFF"/>
          <w:lang w:eastAsia="zh-CN"/>
        </w:rPr>
        <w:t>中标供应商</w:t>
      </w:r>
      <w:r>
        <w:rPr>
          <w:rFonts w:hint="eastAsia" w:ascii="宋体" w:hAnsi="宋体" w:eastAsia="宋体" w:cs="宋体"/>
          <w:b/>
          <w:color w:val="auto"/>
          <w:sz w:val="24"/>
          <w:szCs w:val="24"/>
          <w:highlight w:val="none"/>
          <w:shd w:val="clear" w:fill="FFFFFF"/>
        </w:rPr>
        <w:t>不得以任何方式或任何实现本项目以外的其他目的擅自使用采购人保密信息及保密信息载体，或将该等保密信息揭示、公布、披露给任何第三方，或许可任何第三方使用。</w:t>
      </w:r>
    </w:p>
    <w:p>
      <w:pPr>
        <w:pStyle w:val="1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shd w:val="clear" w:fill="FFFFFF"/>
        </w:rPr>
        <w:t>9.2如采购人提出要求，</w:t>
      </w:r>
      <w:r>
        <w:rPr>
          <w:rFonts w:hint="eastAsia" w:ascii="宋体" w:hAnsi="宋体" w:eastAsia="宋体" w:cs="宋体"/>
          <w:b/>
          <w:color w:val="auto"/>
          <w:sz w:val="24"/>
          <w:szCs w:val="24"/>
          <w:highlight w:val="none"/>
          <w:shd w:val="clear" w:fill="FFFFFF"/>
          <w:lang w:eastAsia="zh-CN"/>
        </w:rPr>
        <w:t>中标供应商</w:t>
      </w:r>
      <w:r>
        <w:rPr>
          <w:rFonts w:hint="eastAsia" w:ascii="宋体" w:hAnsi="宋体" w:eastAsia="宋体" w:cs="宋体"/>
          <w:b/>
          <w:color w:val="auto"/>
          <w:sz w:val="24"/>
          <w:szCs w:val="24"/>
          <w:highlight w:val="none"/>
          <w:shd w:val="clear" w:fill="FFFFFF"/>
        </w:rPr>
        <w:t>应将载有采购人保密信息的任何文件、资料或软件，按要求归还，或予以销毁，或进行其他处置，并且不得继续使用这些保密信息。</w:t>
      </w:r>
    </w:p>
    <w:p>
      <w:pPr>
        <w:pStyle w:val="1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shd w:val="clear" w:fill="FFFFFF"/>
        </w:rPr>
        <w:t>9.3</w:t>
      </w:r>
      <w:r>
        <w:rPr>
          <w:rFonts w:hint="eastAsia" w:ascii="宋体" w:hAnsi="宋体" w:eastAsia="宋体" w:cs="宋体"/>
          <w:b/>
          <w:color w:val="auto"/>
          <w:sz w:val="24"/>
          <w:szCs w:val="24"/>
          <w:highlight w:val="none"/>
          <w:shd w:val="clear" w:fill="FFFFFF"/>
          <w:lang w:eastAsia="zh-CN"/>
        </w:rPr>
        <w:t>中标供应商</w:t>
      </w:r>
      <w:r>
        <w:rPr>
          <w:rFonts w:hint="eastAsia" w:ascii="宋体" w:hAnsi="宋体" w:eastAsia="宋体" w:cs="宋体"/>
          <w:b/>
          <w:color w:val="auto"/>
          <w:sz w:val="24"/>
          <w:szCs w:val="24"/>
          <w:highlight w:val="none"/>
          <w:shd w:val="clear" w:fill="FFFFFF"/>
        </w:rPr>
        <w:t>违反上述保密义务造成损失的，需承担赔偿责任。本保密条款永久有效，不受合同终止或无效的影响。</w:t>
      </w:r>
    </w:p>
    <w:p>
      <w:pPr>
        <w:pStyle w:val="1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shd w:val="clear" w:fill="FFFFFF"/>
        </w:rPr>
        <w:t>9.4</w:t>
      </w:r>
      <w:r>
        <w:rPr>
          <w:rFonts w:hint="eastAsia" w:ascii="宋体" w:hAnsi="宋体" w:eastAsia="宋体" w:cs="宋体"/>
          <w:b/>
          <w:color w:val="auto"/>
          <w:sz w:val="24"/>
          <w:szCs w:val="24"/>
          <w:highlight w:val="none"/>
          <w:shd w:val="clear" w:fill="FFFFFF"/>
          <w:lang w:eastAsia="zh-CN"/>
        </w:rPr>
        <w:t>中标供应商</w:t>
      </w:r>
      <w:r>
        <w:rPr>
          <w:rFonts w:hint="eastAsia" w:ascii="宋体" w:hAnsi="宋体" w:eastAsia="宋体" w:cs="宋体"/>
          <w:b/>
          <w:color w:val="auto"/>
          <w:sz w:val="24"/>
          <w:szCs w:val="24"/>
          <w:highlight w:val="none"/>
          <w:shd w:val="clear" w:fill="FFFFFF"/>
        </w:rPr>
        <w:t>违反本条约定泄露采购人的涉密信息的，应承担相应的法律责任，造成采购人损失的，</w:t>
      </w:r>
      <w:r>
        <w:rPr>
          <w:rFonts w:hint="eastAsia" w:ascii="宋体" w:hAnsi="宋体" w:eastAsia="宋体" w:cs="宋体"/>
          <w:b/>
          <w:color w:val="auto"/>
          <w:sz w:val="24"/>
          <w:szCs w:val="24"/>
          <w:highlight w:val="none"/>
          <w:shd w:val="clear" w:fill="FFFFFF"/>
          <w:lang w:eastAsia="zh-CN"/>
        </w:rPr>
        <w:t>中标供应商</w:t>
      </w:r>
      <w:r>
        <w:rPr>
          <w:rFonts w:hint="eastAsia" w:ascii="宋体" w:hAnsi="宋体" w:eastAsia="宋体" w:cs="宋体"/>
          <w:b/>
          <w:color w:val="auto"/>
          <w:sz w:val="24"/>
          <w:szCs w:val="24"/>
          <w:highlight w:val="none"/>
          <w:shd w:val="clear" w:fill="FFFFFF"/>
        </w:rPr>
        <w:t>应当依法承担赔偿责任。</w:t>
      </w:r>
    </w:p>
    <w:p>
      <w:pPr>
        <w:pStyle w:val="19"/>
        <w:keepNext w:val="0"/>
        <w:keepLines w:val="0"/>
        <w:pageBreakBefore w:val="0"/>
        <w:widowControl/>
        <w:kinsoku/>
        <w:wordWrap/>
        <w:overflowPunct/>
        <w:topLinePunct w:val="0"/>
        <w:autoSpaceDE/>
        <w:autoSpaceDN/>
        <w:bidi w:val="0"/>
        <w:adjustRightInd/>
        <w:snapToGrid/>
        <w:spacing w:line="360" w:lineRule="exact"/>
        <w:jc w:val="both"/>
        <w:textAlignment w:val="auto"/>
        <w:outlineLvl w:val="2"/>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四、其他事项</w:t>
      </w:r>
    </w:p>
    <w:p>
      <w:pPr>
        <w:pStyle w:val="19"/>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1、除招标文件另有规定外，若出现有关法律、法规和规章有强制性规定但招标文件未列明的情形，则投标人应按照有关法律、法规和规章强制性规定执行。</w:t>
      </w:r>
    </w:p>
    <w:p>
      <w:pPr>
        <w:pStyle w:val="19"/>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2、其他：</w:t>
      </w:r>
    </w:p>
    <w:p>
      <w:pPr>
        <w:pStyle w:val="19"/>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无</w:t>
      </w:r>
      <w:r>
        <w:rPr>
          <w:rFonts w:hint="eastAsia" w:ascii="宋体" w:hAnsi="宋体" w:eastAsia="宋体" w:cs="宋体"/>
          <w:color w:val="auto"/>
          <w:sz w:val="24"/>
          <w:szCs w:val="24"/>
          <w:highlight w:val="none"/>
          <w:lang w:eastAsia="zh-CN"/>
        </w:rPr>
        <w:t>。</w:t>
      </w:r>
    </w:p>
    <w:p>
      <w:pPr>
        <w:pStyle w:val="19"/>
        <w:keepNext w:val="0"/>
        <w:keepLines w:val="0"/>
        <w:pageBreakBefore w:val="0"/>
        <w:kinsoku/>
        <w:wordWrap/>
        <w:overflowPunct/>
        <w:topLinePunct w:val="0"/>
        <w:autoSpaceDN/>
        <w:bidi w:val="0"/>
        <w:spacing w:line="240" w:lineRule="auto"/>
        <w:jc w:val="center"/>
        <w:textAlignment w:val="auto"/>
        <w:rPr>
          <w:color w:val="auto"/>
          <w:highlight w:val="none"/>
        </w:rPr>
      </w:pPr>
      <w:r>
        <w:rPr>
          <w:rFonts w:hint="eastAsia" w:ascii="宋体" w:hAnsi="宋体" w:eastAsia="宋体" w:cs="宋体"/>
          <w:color w:val="auto"/>
          <w:sz w:val="24"/>
          <w:szCs w:val="24"/>
          <w:highlight w:val="none"/>
        </w:rPr>
        <w:br w:type="textWrapping"/>
      </w:r>
      <w:r>
        <w:rPr>
          <w:b/>
          <w:color w:val="auto"/>
          <w:sz w:val="36"/>
          <w:highlight w:val="none"/>
        </w:rPr>
        <w:t>第六章</w:t>
      </w:r>
      <w:r>
        <w:rPr>
          <w:rFonts w:hint="eastAsia"/>
          <w:b/>
          <w:color w:val="auto"/>
          <w:sz w:val="36"/>
          <w:highlight w:val="none"/>
          <w:lang w:val="en-US" w:eastAsia="zh-CN"/>
        </w:rPr>
        <w:t xml:space="preserve">  </w:t>
      </w:r>
      <w:r>
        <w:rPr>
          <w:b/>
          <w:color w:val="auto"/>
          <w:sz w:val="36"/>
          <w:highlight w:val="none"/>
        </w:rPr>
        <w:t>政府采购合同</w:t>
      </w:r>
    </w:p>
    <w:p>
      <w:pPr>
        <w:pStyle w:val="19"/>
        <w:spacing w:line="240" w:lineRule="auto"/>
        <w:jc w:val="center"/>
        <w:outlineLvl w:val="2"/>
        <w:rPr>
          <w:color w:val="auto"/>
          <w:highlight w:val="none"/>
        </w:rPr>
      </w:pPr>
      <w:r>
        <w:rPr>
          <w:b/>
          <w:color w:val="auto"/>
          <w:sz w:val="28"/>
          <w:highlight w:val="none"/>
        </w:rPr>
        <w:t>参考文本</w:t>
      </w:r>
    </w:p>
    <w:p>
      <w:pPr>
        <w:pStyle w:val="19"/>
        <w:spacing w:line="240" w:lineRule="auto"/>
        <w:jc w:val="center"/>
        <w:outlineLvl w:val="1"/>
        <w:rPr>
          <w:b/>
          <w:color w:val="auto"/>
          <w:sz w:val="36"/>
          <w:highlight w:val="none"/>
        </w:rPr>
      </w:pPr>
      <w:r>
        <w:rPr>
          <w:b/>
          <w:color w:val="auto"/>
          <w:sz w:val="36"/>
          <w:highlight w:val="none"/>
        </w:rPr>
        <w:t>政府采购货物买卖合同</w:t>
      </w:r>
    </w:p>
    <w:p>
      <w:pPr>
        <w:pStyle w:val="19"/>
        <w:jc w:val="center"/>
        <w:outlineLvl w:val="1"/>
        <w:rPr>
          <w:color w:val="auto"/>
          <w:highlight w:val="none"/>
        </w:rPr>
      </w:pPr>
      <w:r>
        <w:rPr>
          <w:b/>
          <w:color w:val="auto"/>
          <w:sz w:val="36"/>
          <w:highlight w:val="none"/>
        </w:rPr>
        <w:t>（试行）</w:t>
      </w:r>
    </w:p>
    <w:p>
      <w:pPr>
        <w:pStyle w:val="19"/>
        <w:jc w:val="lef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项目名称：_________________________</w:t>
      </w:r>
    </w:p>
    <w:p>
      <w:pPr>
        <w:pStyle w:val="19"/>
        <w:jc w:val="lef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合同编号：_________________________</w:t>
      </w:r>
    </w:p>
    <w:p>
      <w:pPr>
        <w:pStyle w:val="19"/>
        <w:jc w:val="lef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甲   方：__________________________</w:t>
      </w:r>
    </w:p>
    <w:p>
      <w:pPr>
        <w:pStyle w:val="19"/>
        <w:jc w:val="lef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乙   方：__________________________</w:t>
      </w:r>
    </w:p>
    <w:p>
      <w:pPr>
        <w:pStyle w:val="19"/>
        <w:jc w:val="lef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签订时间：_________________________</w:t>
      </w:r>
    </w:p>
    <w:p>
      <w:pPr>
        <w:pStyle w:val="19"/>
        <w:jc w:val="left"/>
        <w:rPr>
          <w:color w:val="auto"/>
          <w:highlight w:val="none"/>
        </w:rPr>
      </w:pPr>
      <w:r>
        <w:rPr>
          <w:color w:val="auto"/>
          <w:highlight w:val="none"/>
        </w:rPr>
        <w:t xml:space="preserve"> </w:t>
      </w:r>
    </w:p>
    <w:p>
      <w:pPr>
        <w:pStyle w:val="19"/>
        <w:jc w:val="center"/>
        <w:outlineLvl w:val="1"/>
        <w:rPr>
          <w:b/>
          <w:color w:val="auto"/>
          <w:sz w:val="36"/>
          <w:highlight w:val="none"/>
        </w:rPr>
      </w:pPr>
      <w:r>
        <w:rPr>
          <w:b/>
          <w:color w:val="auto"/>
          <w:sz w:val="36"/>
          <w:highlight w:val="none"/>
        </w:rPr>
        <w:t>使用说明</w:t>
      </w:r>
    </w:p>
    <w:p>
      <w:pPr>
        <w:pStyle w:val="19"/>
        <w:jc w:val="left"/>
        <w:outlineLvl w:val="3"/>
        <w:rPr>
          <w:color w:val="auto"/>
          <w:highlight w:val="none"/>
        </w:rPr>
      </w:pPr>
      <w:r>
        <w:rPr>
          <w:b/>
          <w:color w:val="auto"/>
          <w:sz w:val="24"/>
          <w:highlight w:val="none"/>
        </w:rPr>
        <w:t>1.本合同标准文本适用于购买现成货物的采购项目，不包括需要供应商定制开发、创新研发的货物采购项目。</w:t>
      </w:r>
    </w:p>
    <w:p>
      <w:pPr>
        <w:pStyle w:val="19"/>
        <w:jc w:val="left"/>
        <w:outlineLvl w:val="3"/>
        <w:rPr>
          <w:color w:val="auto"/>
          <w:highlight w:val="none"/>
        </w:rPr>
      </w:pPr>
      <w:r>
        <w:rPr>
          <w:b/>
          <w:color w:val="auto"/>
          <w:sz w:val="24"/>
          <w:highlight w:val="none"/>
        </w:rPr>
        <w:t>2.本合同标准文本为政府采购货物买卖合同编制提供参考，可以结合采购项目具体情况，对文本作必要的调整修订后使用。</w:t>
      </w:r>
    </w:p>
    <w:p>
      <w:pPr>
        <w:pStyle w:val="19"/>
        <w:jc w:val="left"/>
        <w:outlineLvl w:val="3"/>
        <w:rPr>
          <w:color w:val="auto"/>
          <w:highlight w:val="none"/>
        </w:rPr>
      </w:pPr>
      <w:r>
        <w:rPr>
          <w:b/>
          <w:color w:val="auto"/>
          <w:sz w:val="24"/>
          <w:highlight w:val="none"/>
        </w:rPr>
        <w:t>3.本合同标准文本各条款中，如涉及填写多家供应商、制造商，多种采购标的、分包主要内容等信息的，可根据采购项目具体情况添加信息项。</w:t>
      </w:r>
    </w:p>
    <w:p>
      <w:pPr>
        <w:pStyle w:val="19"/>
        <w:jc w:val="center"/>
        <w:outlineLvl w:val="1"/>
        <w:rPr>
          <w:color w:val="auto"/>
          <w:highlight w:val="none"/>
        </w:rPr>
      </w:pPr>
      <w:r>
        <w:rPr>
          <w:b/>
          <w:color w:val="auto"/>
          <w:sz w:val="36"/>
          <w:highlight w:val="none"/>
        </w:rPr>
        <w:t>第一节 政府采购合同协议书</w:t>
      </w:r>
    </w:p>
    <w:p>
      <w:pPr>
        <w:pStyle w:val="19"/>
        <w:jc w:val="left"/>
        <w:rPr>
          <w:color w:val="auto"/>
          <w:highlight w:val="none"/>
        </w:rPr>
      </w:pPr>
      <w:r>
        <w:rPr>
          <w:color w:val="auto"/>
          <w:highlight w:val="none"/>
        </w:rPr>
        <w:t>甲方（全称）：___________________________（采购人、受采购人委托签订合同的单位或采购文件约定的合同甲方）</w:t>
      </w:r>
    </w:p>
    <w:p>
      <w:pPr>
        <w:pStyle w:val="19"/>
        <w:jc w:val="left"/>
        <w:rPr>
          <w:color w:val="auto"/>
          <w:highlight w:val="none"/>
        </w:rPr>
      </w:pPr>
      <w:r>
        <w:rPr>
          <w:color w:val="auto"/>
          <w:highlight w:val="none"/>
        </w:rPr>
        <w:t>乙方1（全称）：___________________________（供应商）</w:t>
      </w:r>
    </w:p>
    <w:p>
      <w:pPr>
        <w:pStyle w:val="19"/>
        <w:jc w:val="left"/>
        <w:rPr>
          <w:color w:val="auto"/>
          <w:highlight w:val="none"/>
        </w:rPr>
      </w:pPr>
      <w:r>
        <w:rPr>
          <w:color w:val="auto"/>
          <w:highlight w:val="none"/>
        </w:rPr>
        <w:t>乙方2（全称）：___________________________（联合体成员供应商或其他合同主体）（如有）</w:t>
      </w:r>
    </w:p>
    <w:p>
      <w:pPr>
        <w:pStyle w:val="19"/>
        <w:jc w:val="left"/>
        <w:rPr>
          <w:color w:val="auto"/>
          <w:highlight w:val="none"/>
        </w:rPr>
      </w:pPr>
      <w:r>
        <w:rPr>
          <w:color w:val="auto"/>
          <w:highlight w:val="none"/>
        </w:rPr>
        <w:t>乙方3（全称）：___________________________（联合体成员供应商或其他合同主体）（如有）</w:t>
      </w:r>
    </w:p>
    <w:p>
      <w:pPr>
        <w:pStyle w:val="19"/>
        <w:jc w:val="left"/>
        <w:rPr>
          <w:color w:val="auto"/>
          <w:highlight w:val="none"/>
        </w:rPr>
      </w:pPr>
      <w:r>
        <w:rPr>
          <w:color w:val="auto"/>
          <w:highlight w:val="none"/>
        </w:rPr>
        <w:t>依据《中华人民共和国民法典》、《中华人民共和国政府采购法》等有关的法律法规，以及本采购项目的招标/谈判文件等采购文件、乙方的《投标（响应）文件》及《中标（</w:t>
      </w:r>
      <w:r>
        <w:rPr>
          <w:rFonts w:hint="eastAsia"/>
          <w:color w:val="auto"/>
          <w:highlight w:val="none"/>
          <w:lang w:eastAsia="zh-CN"/>
        </w:rPr>
        <w:t>中标</w:t>
      </w:r>
      <w:r>
        <w:rPr>
          <w:color w:val="auto"/>
          <w:highlight w:val="none"/>
        </w:rPr>
        <w:t>）通知书》，甲乙双方同意签订本合同。具体情况及要求如下：</w:t>
      </w:r>
    </w:p>
    <w:p>
      <w:pPr>
        <w:pStyle w:val="19"/>
        <w:jc w:val="left"/>
        <w:outlineLvl w:val="2"/>
        <w:rPr>
          <w:color w:val="auto"/>
          <w:highlight w:val="none"/>
        </w:rPr>
      </w:pPr>
      <w:r>
        <w:rPr>
          <w:b/>
          <w:color w:val="auto"/>
          <w:sz w:val="28"/>
          <w:highlight w:val="none"/>
        </w:rPr>
        <w:t>1.项目信息</w:t>
      </w:r>
    </w:p>
    <w:p>
      <w:pPr>
        <w:pStyle w:val="19"/>
        <w:jc w:val="left"/>
        <w:rPr>
          <w:color w:val="auto"/>
          <w:highlight w:val="none"/>
        </w:rPr>
      </w:pPr>
      <w:r>
        <w:rPr>
          <w:color w:val="auto"/>
          <w:highlight w:val="none"/>
        </w:rPr>
        <w:t>(1)采购项目名称：___________________________</w:t>
      </w:r>
    </w:p>
    <w:p>
      <w:pPr>
        <w:pStyle w:val="19"/>
        <w:jc w:val="left"/>
        <w:rPr>
          <w:color w:val="auto"/>
          <w:highlight w:val="none"/>
        </w:rPr>
      </w:pPr>
      <w:r>
        <w:rPr>
          <w:color w:val="auto"/>
          <w:highlight w:val="none"/>
        </w:rPr>
        <w:t xml:space="preserve"> 采购项目编号：____________________________</w:t>
      </w:r>
    </w:p>
    <w:p>
      <w:pPr>
        <w:pStyle w:val="19"/>
        <w:jc w:val="left"/>
        <w:rPr>
          <w:color w:val="auto"/>
          <w:highlight w:val="none"/>
        </w:rPr>
      </w:pPr>
      <w:r>
        <w:rPr>
          <w:color w:val="auto"/>
          <w:highlight w:val="none"/>
        </w:rPr>
        <w:t>(2)采购计划编号：___________________________</w:t>
      </w:r>
    </w:p>
    <w:p>
      <w:pPr>
        <w:pStyle w:val="19"/>
        <w:jc w:val="left"/>
        <w:rPr>
          <w:color w:val="auto"/>
          <w:highlight w:val="none"/>
        </w:rPr>
      </w:pPr>
      <w:r>
        <w:rPr>
          <w:color w:val="auto"/>
          <w:highlight w:val="none"/>
        </w:rPr>
        <w:t>(3)项目内容：</w:t>
      </w:r>
    </w:p>
    <w:p>
      <w:pPr>
        <w:pStyle w:val="19"/>
        <w:jc w:val="left"/>
        <w:rPr>
          <w:color w:val="auto"/>
          <w:highlight w:val="none"/>
        </w:rPr>
      </w:pPr>
      <w:r>
        <w:rPr>
          <w:color w:val="auto"/>
          <w:highlight w:val="none"/>
        </w:rPr>
        <w:t>采购标的及数量（台/套/个/架/组等）：___________________</w:t>
      </w:r>
    </w:p>
    <w:p>
      <w:pPr>
        <w:pStyle w:val="19"/>
        <w:jc w:val="left"/>
        <w:rPr>
          <w:color w:val="auto"/>
          <w:highlight w:val="none"/>
        </w:rPr>
      </w:pPr>
      <w:r>
        <w:rPr>
          <w:color w:val="auto"/>
          <w:highlight w:val="none"/>
        </w:rPr>
        <w:t xml:space="preserve"> 品牌： ___________________ 规格型号：___________________</w:t>
      </w:r>
    </w:p>
    <w:p>
      <w:pPr>
        <w:pStyle w:val="19"/>
        <w:jc w:val="left"/>
        <w:rPr>
          <w:color w:val="auto"/>
          <w:highlight w:val="none"/>
        </w:rPr>
      </w:pPr>
      <w:r>
        <w:rPr>
          <w:color w:val="auto"/>
          <w:highlight w:val="none"/>
        </w:rPr>
        <w:t>采购标的的技术要求、商务要求具体见附件。</w:t>
      </w:r>
    </w:p>
    <w:p>
      <w:pPr>
        <w:pStyle w:val="19"/>
        <w:jc w:val="left"/>
        <w:rPr>
          <w:color w:val="auto"/>
          <w:highlight w:val="none"/>
        </w:rPr>
      </w:pPr>
      <w:r>
        <w:rPr>
          <w:color w:val="auto"/>
          <w:highlight w:val="none"/>
        </w:rPr>
        <w:t>①涉及信息类产品，请填写该产品关键部件的品牌、型号：</w:t>
      </w:r>
    </w:p>
    <w:p>
      <w:pPr>
        <w:pStyle w:val="19"/>
        <w:jc w:val="left"/>
        <w:rPr>
          <w:color w:val="auto"/>
          <w:highlight w:val="none"/>
        </w:rPr>
      </w:pPr>
      <w:r>
        <w:rPr>
          <w:color w:val="auto"/>
          <w:highlight w:val="none"/>
        </w:rPr>
        <w:t>标的名称： ___________________</w:t>
      </w:r>
    </w:p>
    <w:p>
      <w:pPr>
        <w:pStyle w:val="19"/>
        <w:jc w:val="left"/>
        <w:rPr>
          <w:color w:val="auto"/>
          <w:highlight w:val="none"/>
        </w:rPr>
      </w:pPr>
      <w:r>
        <w:rPr>
          <w:color w:val="auto"/>
          <w:highlight w:val="none"/>
        </w:rPr>
        <w:t>关键部件： ___________________ 品牌：___________________ 型号： ___________________</w:t>
      </w:r>
    </w:p>
    <w:p>
      <w:pPr>
        <w:pStyle w:val="19"/>
        <w:jc w:val="left"/>
        <w:rPr>
          <w:color w:val="auto"/>
          <w:highlight w:val="none"/>
        </w:rPr>
      </w:pPr>
      <w:r>
        <w:rPr>
          <w:color w:val="auto"/>
          <w:highlight w:val="none"/>
        </w:rPr>
        <w:t>关键部件： ___________________ 品牌：___________________ 型号： ___________________</w:t>
      </w:r>
    </w:p>
    <w:p>
      <w:pPr>
        <w:pStyle w:val="19"/>
        <w:jc w:val="left"/>
        <w:rPr>
          <w:color w:val="auto"/>
          <w:highlight w:val="none"/>
        </w:rPr>
      </w:pPr>
      <w:r>
        <w:rPr>
          <w:color w:val="auto"/>
          <w:highlight w:val="none"/>
        </w:rPr>
        <w:t>关键部件： ___________________ 品牌：___________________ 型号： ___________________</w:t>
      </w:r>
    </w:p>
    <w:p>
      <w:pPr>
        <w:pStyle w:val="19"/>
        <w:jc w:val="left"/>
        <w:rPr>
          <w:color w:val="auto"/>
          <w:highlight w:val="none"/>
        </w:rPr>
      </w:pPr>
      <w:r>
        <w:rPr>
          <w:color w:val="auto"/>
          <w:highlight w:val="none"/>
        </w:rPr>
        <w:t>（注：关键部件是指财政部会同有关部门发布的政府采购需求标准规定的需要通过国家有关部门指定的测评机构开展的安全可靠测评的软硬件，如CPU芯片、操作系统、数据库等。）</w:t>
      </w:r>
    </w:p>
    <w:p>
      <w:pPr>
        <w:pStyle w:val="19"/>
        <w:jc w:val="left"/>
        <w:rPr>
          <w:color w:val="auto"/>
          <w:highlight w:val="none"/>
        </w:rPr>
      </w:pPr>
      <w:r>
        <w:rPr>
          <w:color w:val="auto"/>
          <w:highlight w:val="none"/>
        </w:rPr>
        <w:t>②涉及车辆采购，请填写是否属于新能源汽车：</w:t>
      </w:r>
    </w:p>
    <w:p>
      <w:pPr>
        <w:pStyle w:val="19"/>
        <w:jc w:val="left"/>
        <w:rPr>
          <w:color w:val="auto"/>
          <w:highlight w:val="none"/>
        </w:rPr>
      </w:pPr>
      <w:r>
        <w:rPr>
          <w:color w:val="auto"/>
          <w:highlight w:val="none"/>
        </w:rPr>
        <w:t xml:space="preserve"> 是，《政府采购品目分类目录》底级品目名称：__________  数量：__________  金额：__________</w:t>
      </w:r>
    </w:p>
    <w:p>
      <w:pPr>
        <w:pStyle w:val="19"/>
        <w:spacing w:line="300" w:lineRule="auto"/>
        <w:jc w:val="left"/>
        <w:rPr>
          <w:color w:val="auto"/>
          <w:highlight w:val="none"/>
        </w:rPr>
      </w:pPr>
      <w:r>
        <w:rPr>
          <w:color w:val="auto"/>
          <w:highlight w:val="none"/>
        </w:rPr>
        <w:t xml:space="preserve"> 否</w:t>
      </w:r>
    </w:p>
    <w:p>
      <w:pPr>
        <w:pStyle w:val="19"/>
        <w:jc w:val="left"/>
        <w:rPr>
          <w:color w:val="auto"/>
          <w:highlight w:val="none"/>
        </w:rPr>
      </w:pPr>
      <w:r>
        <w:rPr>
          <w:color w:val="auto"/>
          <w:highlight w:val="none"/>
        </w:rPr>
        <w:t>(4)政府采购组织形式：政府集中采购 部门集中采购 分散采购</w:t>
      </w:r>
    </w:p>
    <w:p>
      <w:pPr>
        <w:pStyle w:val="19"/>
        <w:jc w:val="left"/>
        <w:rPr>
          <w:color w:val="auto"/>
          <w:highlight w:val="none"/>
        </w:rPr>
      </w:pPr>
      <w:r>
        <w:rPr>
          <w:color w:val="auto"/>
          <w:highlight w:val="none"/>
        </w:rPr>
        <w:t>(5)政府采购方式：公开招标 邀请招标 竞争性谈判 竞争性磋商询价 单一来源 框架协议 其他：____________________</w:t>
      </w:r>
    </w:p>
    <w:p>
      <w:pPr>
        <w:pStyle w:val="19"/>
        <w:jc w:val="left"/>
        <w:rPr>
          <w:color w:val="auto"/>
          <w:highlight w:val="none"/>
        </w:rPr>
      </w:pPr>
      <w:r>
        <w:rPr>
          <w:color w:val="auto"/>
          <w:highlight w:val="none"/>
        </w:rPr>
        <w:t>(6)中标（</w:t>
      </w:r>
      <w:r>
        <w:rPr>
          <w:rFonts w:hint="eastAsia"/>
          <w:color w:val="auto"/>
          <w:highlight w:val="none"/>
          <w:lang w:eastAsia="zh-CN"/>
        </w:rPr>
        <w:t>中标</w:t>
      </w:r>
      <w:r>
        <w:rPr>
          <w:color w:val="auto"/>
          <w:highlight w:val="none"/>
        </w:rPr>
        <w:t>）采购标的制造商是否为中小企业：是否</w:t>
      </w:r>
    </w:p>
    <w:p>
      <w:pPr>
        <w:pStyle w:val="19"/>
        <w:jc w:val="left"/>
        <w:rPr>
          <w:color w:val="auto"/>
          <w:highlight w:val="none"/>
        </w:rPr>
      </w:pPr>
      <w:r>
        <w:rPr>
          <w:color w:val="auto"/>
          <w:highlight w:val="none"/>
        </w:rPr>
        <w:t>本合同是否为专门面向中小企业的采购合同（中小企业预留合同）：是否</w:t>
      </w:r>
    </w:p>
    <w:p>
      <w:pPr>
        <w:pStyle w:val="19"/>
        <w:jc w:val="left"/>
        <w:rPr>
          <w:color w:val="auto"/>
          <w:highlight w:val="none"/>
        </w:rPr>
      </w:pPr>
      <w:r>
        <w:rPr>
          <w:color w:val="auto"/>
          <w:highlight w:val="none"/>
        </w:rPr>
        <w:t>若本项目不专门面向中小企业采购，是否给予小微企业评审优惠：是否</w:t>
      </w:r>
    </w:p>
    <w:p>
      <w:pPr>
        <w:pStyle w:val="19"/>
        <w:jc w:val="left"/>
        <w:rPr>
          <w:color w:val="auto"/>
          <w:highlight w:val="none"/>
        </w:rPr>
      </w:pPr>
      <w:r>
        <w:rPr>
          <w:color w:val="auto"/>
          <w:highlight w:val="none"/>
        </w:rPr>
        <w:t>中标（</w:t>
      </w:r>
      <w:r>
        <w:rPr>
          <w:rFonts w:hint="eastAsia"/>
          <w:color w:val="auto"/>
          <w:highlight w:val="none"/>
          <w:lang w:eastAsia="zh-CN"/>
        </w:rPr>
        <w:t>中标</w:t>
      </w:r>
      <w:r>
        <w:rPr>
          <w:color w:val="auto"/>
          <w:highlight w:val="none"/>
        </w:rPr>
        <w:t>）采购标的制造商是否为残疾人福利性单位：是否</w:t>
      </w:r>
    </w:p>
    <w:p>
      <w:pPr>
        <w:pStyle w:val="19"/>
        <w:jc w:val="left"/>
        <w:rPr>
          <w:color w:val="auto"/>
          <w:highlight w:val="none"/>
        </w:rPr>
      </w:pPr>
      <w:r>
        <w:rPr>
          <w:color w:val="auto"/>
          <w:highlight w:val="none"/>
        </w:rPr>
        <w:t>中标（</w:t>
      </w:r>
      <w:r>
        <w:rPr>
          <w:rFonts w:hint="eastAsia"/>
          <w:color w:val="auto"/>
          <w:highlight w:val="none"/>
          <w:lang w:eastAsia="zh-CN"/>
        </w:rPr>
        <w:t>中标</w:t>
      </w:r>
      <w:r>
        <w:rPr>
          <w:color w:val="auto"/>
          <w:highlight w:val="none"/>
        </w:rPr>
        <w:t>）采购标的制造商是否为监狱企业：是否</w:t>
      </w:r>
    </w:p>
    <w:p>
      <w:pPr>
        <w:pStyle w:val="19"/>
        <w:jc w:val="left"/>
        <w:rPr>
          <w:color w:val="auto"/>
          <w:highlight w:val="none"/>
        </w:rPr>
      </w:pPr>
      <w:r>
        <w:rPr>
          <w:color w:val="auto"/>
          <w:highlight w:val="none"/>
        </w:rPr>
        <w:t>(7)合同是否分包：是否</w:t>
      </w:r>
    </w:p>
    <w:p>
      <w:pPr>
        <w:pStyle w:val="19"/>
        <w:jc w:val="left"/>
        <w:rPr>
          <w:color w:val="auto"/>
          <w:highlight w:val="none"/>
        </w:rPr>
      </w:pPr>
      <w:r>
        <w:rPr>
          <w:color w:val="auto"/>
          <w:highlight w:val="none"/>
        </w:rPr>
        <w:t>分包主要内容：________________________________________</w:t>
      </w:r>
    </w:p>
    <w:p>
      <w:pPr>
        <w:pStyle w:val="19"/>
        <w:jc w:val="left"/>
        <w:rPr>
          <w:color w:val="auto"/>
          <w:highlight w:val="none"/>
        </w:rPr>
      </w:pPr>
      <w:r>
        <w:rPr>
          <w:color w:val="auto"/>
          <w:highlight w:val="none"/>
        </w:rPr>
        <w:t>分包供应商/制造商名称（如供应商和制造商不同，请分别填写）：</w:t>
      </w:r>
    </w:p>
    <w:p>
      <w:pPr>
        <w:pStyle w:val="19"/>
        <w:jc w:val="left"/>
        <w:rPr>
          <w:color w:val="auto"/>
          <w:highlight w:val="none"/>
        </w:rPr>
      </w:pPr>
      <w:r>
        <w:rPr>
          <w:color w:val="auto"/>
          <w:highlight w:val="none"/>
        </w:rPr>
        <w:t>________________________________________</w:t>
      </w:r>
    </w:p>
    <w:p>
      <w:pPr>
        <w:pStyle w:val="19"/>
        <w:jc w:val="left"/>
        <w:rPr>
          <w:color w:val="auto"/>
          <w:highlight w:val="none"/>
        </w:rPr>
      </w:pPr>
      <w:r>
        <w:rPr>
          <w:color w:val="auto"/>
          <w:highlight w:val="none"/>
        </w:rPr>
        <w:t>分包供应商/制造商类型（如果供应商和制造商不同，只填写制造商类型）：</w:t>
      </w:r>
    </w:p>
    <w:p>
      <w:pPr>
        <w:pStyle w:val="19"/>
        <w:jc w:val="left"/>
        <w:rPr>
          <w:color w:val="auto"/>
          <w:highlight w:val="none"/>
        </w:rPr>
      </w:pPr>
      <w:r>
        <w:rPr>
          <w:color w:val="auto"/>
          <w:highlight w:val="none"/>
        </w:rPr>
        <w:t>大型企业中型企业小微型企业</w:t>
      </w:r>
    </w:p>
    <w:p>
      <w:pPr>
        <w:pStyle w:val="19"/>
        <w:jc w:val="left"/>
        <w:rPr>
          <w:color w:val="auto"/>
          <w:highlight w:val="none"/>
        </w:rPr>
      </w:pPr>
      <w:r>
        <w:rPr>
          <w:color w:val="auto"/>
          <w:highlight w:val="none"/>
        </w:rPr>
        <w:t>残疾人福利性单位监狱企业其他</w:t>
      </w:r>
    </w:p>
    <w:p>
      <w:pPr>
        <w:pStyle w:val="19"/>
        <w:jc w:val="left"/>
        <w:rPr>
          <w:color w:val="auto"/>
          <w:highlight w:val="none"/>
        </w:rPr>
      </w:pPr>
      <w:r>
        <w:rPr>
          <w:color w:val="auto"/>
          <w:highlight w:val="none"/>
        </w:rPr>
        <w:t>(8)中标（</w:t>
      </w:r>
      <w:r>
        <w:rPr>
          <w:rFonts w:hint="eastAsia"/>
          <w:color w:val="auto"/>
          <w:highlight w:val="none"/>
          <w:lang w:eastAsia="zh-CN"/>
        </w:rPr>
        <w:t>中标</w:t>
      </w:r>
      <w:r>
        <w:rPr>
          <w:color w:val="auto"/>
          <w:highlight w:val="none"/>
        </w:rPr>
        <w:t>）供应商是否为外商投资企业：是否</w:t>
      </w:r>
    </w:p>
    <w:p>
      <w:pPr>
        <w:pStyle w:val="19"/>
        <w:spacing w:line="300" w:lineRule="auto"/>
        <w:ind w:firstLine="840"/>
        <w:jc w:val="left"/>
        <w:rPr>
          <w:color w:val="auto"/>
          <w:highlight w:val="none"/>
        </w:rPr>
      </w:pPr>
      <w:r>
        <w:rPr>
          <w:color w:val="auto"/>
          <w:highlight w:val="none"/>
        </w:rPr>
        <w:t>外商投资企业类型：全部由外国投资者投资部分由外国投资者投资</w:t>
      </w:r>
    </w:p>
    <w:p>
      <w:pPr>
        <w:pStyle w:val="19"/>
        <w:jc w:val="left"/>
        <w:rPr>
          <w:color w:val="auto"/>
          <w:highlight w:val="none"/>
        </w:rPr>
      </w:pPr>
      <w:r>
        <w:rPr>
          <w:color w:val="auto"/>
          <w:highlight w:val="none"/>
        </w:rPr>
        <w:t>（9）是否涉及进口产品：</w:t>
      </w:r>
    </w:p>
    <w:p>
      <w:pPr>
        <w:pStyle w:val="19"/>
        <w:jc w:val="left"/>
        <w:rPr>
          <w:color w:val="auto"/>
          <w:highlight w:val="none"/>
        </w:rPr>
      </w:pPr>
      <w:r>
        <w:rPr>
          <w:color w:val="auto"/>
          <w:highlight w:val="none"/>
        </w:rPr>
        <w:t xml:space="preserve"> 是，《政府采购品目分类目录》底级品目名称：__________  金额：__________</w:t>
      </w:r>
    </w:p>
    <w:p>
      <w:pPr>
        <w:pStyle w:val="19"/>
        <w:spacing w:line="300" w:lineRule="auto"/>
        <w:ind w:firstLine="1260"/>
        <w:jc w:val="left"/>
        <w:rPr>
          <w:color w:val="auto"/>
          <w:highlight w:val="none"/>
        </w:rPr>
      </w:pPr>
      <w:r>
        <w:rPr>
          <w:color w:val="auto"/>
          <w:highlight w:val="none"/>
        </w:rPr>
        <w:t>国别：__________  品牌：__________  规格型号__________</w:t>
      </w:r>
    </w:p>
    <w:p>
      <w:pPr>
        <w:pStyle w:val="19"/>
        <w:spacing w:line="300" w:lineRule="auto"/>
        <w:ind w:firstLine="840"/>
        <w:jc w:val="left"/>
        <w:rPr>
          <w:color w:val="auto"/>
          <w:highlight w:val="none"/>
        </w:rPr>
      </w:pPr>
      <w:r>
        <w:rPr>
          <w:color w:val="auto"/>
          <w:highlight w:val="none"/>
        </w:rPr>
        <w:t xml:space="preserve"> 否</w:t>
      </w:r>
    </w:p>
    <w:p>
      <w:pPr>
        <w:pStyle w:val="19"/>
        <w:jc w:val="left"/>
        <w:rPr>
          <w:color w:val="auto"/>
          <w:highlight w:val="none"/>
        </w:rPr>
      </w:pPr>
      <w:r>
        <w:rPr>
          <w:color w:val="auto"/>
          <w:highlight w:val="none"/>
        </w:rPr>
        <w:t>（10）是否涉及节能产品：</w:t>
      </w:r>
    </w:p>
    <w:p>
      <w:pPr>
        <w:pStyle w:val="19"/>
        <w:jc w:val="left"/>
        <w:rPr>
          <w:color w:val="auto"/>
          <w:highlight w:val="none"/>
        </w:rPr>
      </w:pPr>
      <w:r>
        <w:rPr>
          <w:color w:val="auto"/>
          <w:highlight w:val="none"/>
        </w:rPr>
        <w:t xml:space="preserve"> 是，《节能产品政府采购品目清单》的底级品目名称：__________</w:t>
      </w:r>
    </w:p>
    <w:p>
      <w:pPr>
        <w:pStyle w:val="19"/>
        <w:spacing w:line="300" w:lineRule="auto"/>
        <w:ind w:firstLine="1260"/>
        <w:jc w:val="left"/>
        <w:rPr>
          <w:color w:val="auto"/>
          <w:highlight w:val="none"/>
        </w:rPr>
      </w:pPr>
      <w:r>
        <w:rPr>
          <w:color w:val="auto"/>
          <w:highlight w:val="none"/>
        </w:rPr>
        <w:t xml:space="preserve"> 强制采购         优先采购</w:t>
      </w:r>
    </w:p>
    <w:p>
      <w:pPr>
        <w:pStyle w:val="19"/>
        <w:spacing w:line="300" w:lineRule="auto"/>
        <w:ind w:firstLine="840"/>
        <w:jc w:val="left"/>
        <w:rPr>
          <w:color w:val="auto"/>
          <w:highlight w:val="none"/>
        </w:rPr>
      </w:pPr>
      <w:r>
        <w:rPr>
          <w:color w:val="auto"/>
          <w:highlight w:val="none"/>
        </w:rPr>
        <w:t xml:space="preserve"> 否</w:t>
      </w:r>
    </w:p>
    <w:p>
      <w:pPr>
        <w:pStyle w:val="19"/>
        <w:ind w:firstLine="840"/>
        <w:jc w:val="left"/>
        <w:rPr>
          <w:color w:val="auto"/>
          <w:highlight w:val="none"/>
        </w:rPr>
      </w:pPr>
      <w:r>
        <w:rPr>
          <w:color w:val="auto"/>
          <w:highlight w:val="none"/>
        </w:rPr>
        <w:t>是否涉及环境标志产品：</w:t>
      </w:r>
    </w:p>
    <w:p>
      <w:pPr>
        <w:pStyle w:val="19"/>
        <w:jc w:val="left"/>
        <w:rPr>
          <w:color w:val="auto"/>
          <w:highlight w:val="none"/>
        </w:rPr>
      </w:pPr>
      <w:r>
        <w:rPr>
          <w:color w:val="auto"/>
          <w:highlight w:val="none"/>
        </w:rPr>
        <w:t xml:space="preserve"> 是，《环境标志产品政府采购品目清单》的底级品目名称：__________</w:t>
      </w:r>
    </w:p>
    <w:p>
      <w:pPr>
        <w:pStyle w:val="19"/>
        <w:spacing w:line="300" w:lineRule="auto"/>
        <w:ind w:firstLine="1260"/>
        <w:jc w:val="left"/>
        <w:rPr>
          <w:color w:val="auto"/>
          <w:highlight w:val="none"/>
        </w:rPr>
      </w:pPr>
      <w:r>
        <w:rPr>
          <w:color w:val="auto"/>
          <w:highlight w:val="none"/>
        </w:rPr>
        <w:t xml:space="preserve"> 强制采购         优先采购</w:t>
      </w:r>
    </w:p>
    <w:p>
      <w:pPr>
        <w:pStyle w:val="19"/>
        <w:spacing w:line="300" w:lineRule="auto"/>
        <w:ind w:firstLine="840"/>
        <w:jc w:val="left"/>
        <w:rPr>
          <w:color w:val="auto"/>
          <w:highlight w:val="none"/>
        </w:rPr>
      </w:pPr>
      <w:r>
        <w:rPr>
          <w:color w:val="auto"/>
          <w:highlight w:val="none"/>
        </w:rPr>
        <w:t xml:space="preserve"> 否</w:t>
      </w:r>
    </w:p>
    <w:p>
      <w:pPr>
        <w:pStyle w:val="19"/>
        <w:ind w:firstLine="840"/>
        <w:jc w:val="left"/>
        <w:rPr>
          <w:color w:val="auto"/>
          <w:highlight w:val="none"/>
        </w:rPr>
      </w:pPr>
      <w:r>
        <w:rPr>
          <w:color w:val="auto"/>
          <w:highlight w:val="none"/>
        </w:rPr>
        <w:t>是否涉及绿色产品：</w:t>
      </w:r>
    </w:p>
    <w:p>
      <w:pPr>
        <w:pStyle w:val="19"/>
        <w:jc w:val="left"/>
        <w:rPr>
          <w:color w:val="auto"/>
          <w:highlight w:val="none"/>
        </w:rPr>
      </w:pPr>
      <w:r>
        <w:rPr>
          <w:color w:val="auto"/>
          <w:highlight w:val="none"/>
        </w:rPr>
        <w:t xml:space="preserve"> 是，绿色产品政府采购相关政策确定的底级品目名称：__________</w:t>
      </w:r>
    </w:p>
    <w:p>
      <w:pPr>
        <w:pStyle w:val="19"/>
        <w:spacing w:line="300" w:lineRule="auto"/>
        <w:ind w:firstLine="1260"/>
        <w:jc w:val="left"/>
        <w:rPr>
          <w:color w:val="auto"/>
          <w:highlight w:val="none"/>
        </w:rPr>
      </w:pPr>
      <w:r>
        <w:rPr>
          <w:color w:val="auto"/>
          <w:highlight w:val="none"/>
        </w:rPr>
        <w:t xml:space="preserve"> 强制采购         优先采购</w:t>
      </w:r>
    </w:p>
    <w:p>
      <w:pPr>
        <w:pStyle w:val="19"/>
        <w:spacing w:line="300" w:lineRule="auto"/>
        <w:ind w:firstLine="840"/>
        <w:jc w:val="left"/>
        <w:rPr>
          <w:color w:val="auto"/>
          <w:highlight w:val="none"/>
        </w:rPr>
      </w:pPr>
      <w:r>
        <w:rPr>
          <w:color w:val="auto"/>
          <w:highlight w:val="none"/>
        </w:rPr>
        <w:t xml:space="preserve"> 否</w:t>
      </w:r>
    </w:p>
    <w:p>
      <w:pPr>
        <w:pStyle w:val="19"/>
        <w:jc w:val="left"/>
        <w:rPr>
          <w:color w:val="auto"/>
          <w:highlight w:val="none"/>
        </w:rPr>
      </w:pPr>
      <w:r>
        <w:rPr>
          <w:color w:val="auto"/>
          <w:highlight w:val="none"/>
        </w:rPr>
        <w:t xml:space="preserve"> (11)涉及商品包装和快递包装的，是否参考《商品包装政府采购需求标准（试行）》、《快递包装政府采购需求标准（试行）》明确产品及相关快递服务的具体包装要求：</w:t>
      </w:r>
    </w:p>
    <w:p>
      <w:pPr>
        <w:pStyle w:val="19"/>
        <w:jc w:val="left"/>
        <w:rPr>
          <w:color w:val="auto"/>
          <w:highlight w:val="none"/>
        </w:rPr>
      </w:pPr>
      <w:r>
        <w:rPr>
          <w:color w:val="auto"/>
          <w:highlight w:val="none"/>
        </w:rPr>
        <w:t>是         否        不涉及</w:t>
      </w:r>
    </w:p>
    <w:p>
      <w:pPr>
        <w:pStyle w:val="19"/>
        <w:jc w:val="left"/>
        <w:outlineLvl w:val="2"/>
        <w:rPr>
          <w:color w:val="auto"/>
          <w:highlight w:val="none"/>
        </w:rPr>
      </w:pPr>
      <w:r>
        <w:rPr>
          <w:b/>
          <w:color w:val="auto"/>
          <w:sz w:val="28"/>
          <w:highlight w:val="none"/>
        </w:rPr>
        <w:t>2.合同金额</w:t>
      </w:r>
    </w:p>
    <w:p>
      <w:pPr>
        <w:pStyle w:val="19"/>
        <w:jc w:val="left"/>
        <w:rPr>
          <w:color w:val="auto"/>
          <w:highlight w:val="none"/>
        </w:rPr>
      </w:pPr>
      <w:r>
        <w:rPr>
          <w:color w:val="auto"/>
          <w:highlight w:val="none"/>
        </w:rPr>
        <w:t>（1）合同金额小写：____________________</w:t>
      </w:r>
    </w:p>
    <w:p>
      <w:pPr>
        <w:pStyle w:val="19"/>
        <w:ind w:firstLine="1980"/>
        <w:jc w:val="left"/>
        <w:rPr>
          <w:color w:val="auto"/>
          <w:highlight w:val="none"/>
        </w:rPr>
      </w:pPr>
      <w:r>
        <w:rPr>
          <w:color w:val="auto"/>
          <w:highlight w:val="none"/>
        </w:rPr>
        <w:t>大写：____________________</w:t>
      </w:r>
    </w:p>
    <w:p>
      <w:pPr>
        <w:pStyle w:val="19"/>
        <w:jc w:val="left"/>
        <w:rPr>
          <w:color w:val="auto"/>
          <w:highlight w:val="none"/>
        </w:rPr>
      </w:pPr>
      <w:r>
        <w:rPr>
          <w:color w:val="auto"/>
          <w:highlight w:val="none"/>
        </w:rPr>
        <w:t xml:space="preserve">  分包金额（如有）小写：____________________</w:t>
      </w:r>
    </w:p>
    <w:p>
      <w:pPr>
        <w:pStyle w:val="19"/>
        <w:ind w:firstLine="2820"/>
        <w:jc w:val="left"/>
        <w:rPr>
          <w:color w:val="auto"/>
          <w:highlight w:val="none"/>
        </w:rPr>
      </w:pPr>
      <w:r>
        <w:rPr>
          <w:color w:val="auto"/>
          <w:highlight w:val="none"/>
        </w:rPr>
        <w:t>大写：____________________</w:t>
      </w:r>
    </w:p>
    <w:p>
      <w:pPr>
        <w:pStyle w:val="19"/>
        <w:jc w:val="left"/>
        <w:rPr>
          <w:color w:val="auto"/>
          <w:highlight w:val="none"/>
        </w:rPr>
      </w:pPr>
      <w:r>
        <w:rPr>
          <w:color w:val="auto"/>
          <w:highlight w:val="none"/>
        </w:rPr>
        <w:t xml:space="preserve"> （注：固定单价合同应填写单价和最高限价）</w:t>
      </w:r>
    </w:p>
    <w:p>
      <w:pPr>
        <w:pStyle w:val="19"/>
        <w:jc w:val="left"/>
        <w:rPr>
          <w:color w:val="auto"/>
          <w:highlight w:val="none"/>
        </w:rPr>
      </w:pPr>
      <w:r>
        <w:rPr>
          <w:color w:val="auto"/>
          <w:highlight w:val="none"/>
        </w:rPr>
        <w:t>（2）合同定价方式（采用组合定价方式的，可以勾选多项）：</w:t>
      </w:r>
    </w:p>
    <w:p>
      <w:pPr>
        <w:pStyle w:val="19"/>
        <w:jc w:val="left"/>
        <w:rPr>
          <w:color w:val="auto"/>
          <w:highlight w:val="none"/>
        </w:rPr>
      </w:pPr>
      <w:r>
        <w:rPr>
          <w:color w:val="auto"/>
          <w:highlight w:val="none"/>
        </w:rPr>
        <w:t>固定总价固定单价成本补偿绩效激励其他__________</w:t>
      </w:r>
    </w:p>
    <w:p>
      <w:pPr>
        <w:pStyle w:val="19"/>
        <w:jc w:val="left"/>
        <w:rPr>
          <w:color w:val="auto"/>
          <w:highlight w:val="none"/>
        </w:rPr>
      </w:pPr>
      <w:r>
        <w:rPr>
          <w:color w:val="auto"/>
          <w:highlight w:val="none"/>
        </w:rPr>
        <w:t>（3）付款方式（按项目实际勾选填写）：</w:t>
      </w:r>
    </w:p>
    <w:p>
      <w:pPr>
        <w:pStyle w:val="19"/>
        <w:jc w:val="left"/>
        <w:rPr>
          <w:color w:val="auto"/>
          <w:highlight w:val="none"/>
        </w:rPr>
      </w:pPr>
      <w:r>
        <w:rPr>
          <w:color w:val="auto"/>
          <w:highlight w:val="none"/>
        </w:rPr>
        <w:t>全额付款：_______（应明确一次性支付合同款项的条件）_____________</w:t>
      </w:r>
    </w:p>
    <w:p>
      <w:pPr>
        <w:pStyle w:val="19"/>
        <w:jc w:val="left"/>
        <w:rPr>
          <w:color w:val="auto"/>
          <w:highlight w:val="none"/>
        </w:rPr>
      </w:pPr>
      <w:r>
        <w:rPr>
          <w:color w:val="auto"/>
          <w:highlight w:val="none"/>
        </w:rPr>
        <w:t>分期付款：_______（应明确分期支付合同款项的各期比例和支付条件，各期支付条件应与分期履约验收情况挂钩）_____________，其中涉及预付款的：_______ （应明确预付款的支付比例和支付条件）</w:t>
      </w:r>
    </w:p>
    <w:p>
      <w:pPr>
        <w:pStyle w:val="19"/>
        <w:jc w:val="left"/>
        <w:rPr>
          <w:color w:val="auto"/>
          <w:highlight w:val="none"/>
        </w:rPr>
      </w:pPr>
      <w:r>
        <w:rPr>
          <w:color w:val="auto"/>
          <w:highlight w:val="none"/>
        </w:rPr>
        <w:t>成本补偿：_______（应明确按照成本补偿方式的支付方式和支付条件）___________</w:t>
      </w:r>
    </w:p>
    <w:p>
      <w:pPr>
        <w:pStyle w:val="19"/>
        <w:jc w:val="left"/>
        <w:rPr>
          <w:color w:val="auto"/>
          <w:highlight w:val="none"/>
        </w:rPr>
      </w:pPr>
      <w:r>
        <w:rPr>
          <w:color w:val="auto"/>
          <w:highlight w:val="none"/>
        </w:rPr>
        <w:t>绩效激励：_______（应明确按照绩效激励方式的支付方式和支付条件）_________</w:t>
      </w:r>
    </w:p>
    <w:p>
      <w:pPr>
        <w:pStyle w:val="19"/>
        <w:jc w:val="left"/>
        <w:outlineLvl w:val="2"/>
        <w:rPr>
          <w:color w:val="auto"/>
          <w:highlight w:val="none"/>
        </w:rPr>
      </w:pPr>
      <w:r>
        <w:rPr>
          <w:b/>
          <w:color w:val="auto"/>
          <w:sz w:val="28"/>
          <w:highlight w:val="none"/>
        </w:rPr>
        <w:t>3.合同履行</w:t>
      </w:r>
    </w:p>
    <w:p>
      <w:pPr>
        <w:pStyle w:val="19"/>
        <w:jc w:val="left"/>
        <w:rPr>
          <w:color w:val="auto"/>
          <w:highlight w:val="none"/>
        </w:rPr>
      </w:pPr>
      <w:r>
        <w:rPr>
          <w:color w:val="auto"/>
          <w:highlight w:val="none"/>
        </w:rPr>
        <w:t>（1）起始日期：____________________年____________________月 ____________________日 ，完成日期：____________________年____________________月____________________日。</w:t>
      </w:r>
    </w:p>
    <w:p>
      <w:pPr>
        <w:pStyle w:val="19"/>
        <w:jc w:val="left"/>
        <w:rPr>
          <w:color w:val="auto"/>
          <w:highlight w:val="none"/>
        </w:rPr>
      </w:pPr>
      <w:r>
        <w:rPr>
          <w:color w:val="auto"/>
          <w:highlight w:val="none"/>
        </w:rPr>
        <w:t>（2）履约地点：____________________</w:t>
      </w:r>
    </w:p>
    <w:p>
      <w:pPr>
        <w:pStyle w:val="19"/>
        <w:jc w:val="left"/>
        <w:rPr>
          <w:color w:val="auto"/>
          <w:highlight w:val="none"/>
        </w:rPr>
      </w:pPr>
      <w:r>
        <w:rPr>
          <w:color w:val="auto"/>
          <w:highlight w:val="none"/>
        </w:rPr>
        <w:t>（3）履约担保：</w:t>
      </w:r>
    </w:p>
    <w:p>
      <w:pPr>
        <w:pStyle w:val="19"/>
        <w:jc w:val="left"/>
        <w:rPr>
          <w:color w:val="auto"/>
          <w:highlight w:val="none"/>
        </w:rPr>
      </w:pPr>
      <w:r>
        <w:rPr>
          <w:color w:val="auto"/>
          <w:highlight w:val="none"/>
        </w:rPr>
        <w:t>是否收取履约保证金：是 否</w:t>
      </w:r>
    </w:p>
    <w:p>
      <w:pPr>
        <w:pStyle w:val="19"/>
        <w:jc w:val="left"/>
        <w:rPr>
          <w:color w:val="auto"/>
          <w:highlight w:val="none"/>
        </w:rPr>
      </w:pPr>
      <w:r>
        <w:rPr>
          <w:color w:val="auto"/>
          <w:highlight w:val="none"/>
        </w:rPr>
        <w:t>收取履约保证金形式：____________________</w:t>
      </w:r>
    </w:p>
    <w:p>
      <w:pPr>
        <w:pStyle w:val="19"/>
        <w:jc w:val="left"/>
        <w:rPr>
          <w:color w:val="auto"/>
          <w:highlight w:val="none"/>
        </w:rPr>
      </w:pPr>
      <w:r>
        <w:rPr>
          <w:color w:val="auto"/>
          <w:highlight w:val="none"/>
        </w:rPr>
        <w:t>收取履约保证金金额：____________________</w:t>
      </w:r>
    </w:p>
    <w:p>
      <w:pPr>
        <w:pStyle w:val="19"/>
        <w:jc w:val="left"/>
        <w:rPr>
          <w:color w:val="auto"/>
          <w:highlight w:val="none"/>
        </w:rPr>
      </w:pPr>
      <w:r>
        <w:rPr>
          <w:color w:val="auto"/>
          <w:highlight w:val="none"/>
        </w:rPr>
        <w:t>履约担保期限：____________________</w:t>
      </w:r>
    </w:p>
    <w:p>
      <w:pPr>
        <w:pStyle w:val="19"/>
        <w:ind w:firstLine="510"/>
        <w:jc w:val="left"/>
        <w:rPr>
          <w:color w:val="auto"/>
          <w:highlight w:val="none"/>
        </w:rPr>
      </w:pPr>
      <w:r>
        <w:rPr>
          <w:color w:val="auto"/>
          <w:highlight w:val="none"/>
        </w:rPr>
        <w:t>履约担保期限：____________________</w:t>
      </w:r>
    </w:p>
    <w:p>
      <w:pPr>
        <w:pStyle w:val="19"/>
        <w:jc w:val="left"/>
        <w:rPr>
          <w:color w:val="auto"/>
          <w:highlight w:val="none"/>
        </w:rPr>
      </w:pPr>
      <w:r>
        <w:rPr>
          <w:color w:val="auto"/>
          <w:highlight w:val="none"/>
        </w:rPr>
        <w:t>（4）分期履行要求：____________________</w:t>
      </w:r>
    </w:p>
    <w:p>
      <w:pPr>
        <w:pStyle w:val="19"/>
        <w:jc w:val="left"/>
        <w:rPr>
          <w:color w:val="auto"/>
          <w:highlight w:val="none"/>
        </w:rPr>
      </w:pPr>
      <w:r>
        <w:rPr>
          <w:color w:val="auto"/>
          <w:highlight w:val="none"/>
        </w:rPr>
        <w:t>（5）风险处置措施和替代方案：____________________</w:t>
      </w:r>
    </w:p>
    <w:p>
      <w:pPr>
        <w:pStyle w:val="19"/>
        <w:jc w:val="left"/>
        <w:outlineLvl w:val="2"/>
        <w:rPr>
          <w:color w:val="auto"/>
          <w:highlight w:val="none"/>
        </w:rPr>
      </w:pPr>
      <w:r>
        <w:rPr>
          <w:b/>
          <w:color w:val="auto"/>
          <w:sz w:val="28"/>
          <w:highlight w:val="none"/>
        </w:rPr>
        <w:t>4.合同验收</w:t>
      </w:r>
    </w:p>
    <w:p>
      <w:pPr>
        <w:pStyle w:val="19"/>
        <w:jc w:val="left"/>
        <w:rPr>
          <w:color w:val="auto"/>
          <w:highlight w:val="none"/>
        </w:rPr>
      </w:pPr>
      <w:r>
        <w:rPr>
          <w:color w:val="auto"/>
          <w:highlight w:val="none"/>
        </w:rPr>
        <w:t>（1）验收组织方式：自行验收委托第三方验收</w:t>
      </w:r>
    </w:p>
    <w:p>
      <w:pPr>
        <w:pStyle w:val="19"/>
        <w:jc w:val="left"/>
        <w:rPr>
          <w:color w:val="auto"/>
          <w:highlight w:val="none"/>
        </w:rPr>
      </w:pPr>
      <w:r>
        <w:rPr>
          <w:color w:val="auto"/>
          <w:highlight w:val="none"/>
        </w:rPr>
        <w:t>验收主体：____________________</w:t>
      </w:r>
    </w:p>
    <w:p>
      <w:pPr>
        <w:pStyle w:val="19"/>
        <w:jc w:val="left"/>
        <w:rPr>
          <w:color w:val="auto"/>
          <w:highlight w:val="none"/>
        </w:rPr>
      </w:pPr>
      <w:r>
        <w:rPr>
          <w:color w:val="auto"/>
          <w:highlight w:val="none"/>
        </w:rPr>
        <w:t>是否邀请本项目的其他供应商参加验收：是否</w:t>
      </w:r>
    </w:p>
    <w:p>
      <w:pPr>
        <w:pStyle w:val="19"/>
        <w:jc w:val="left"/>
        <w:rPr>
          <w:color w:val="auto"/>
          <w:highlight w:val="none"/>
        </w:rPr>
      </w:pPr>
      <w:r>
        <w:rPr>
          <w:color w:val="auto"/>
          <w:highlight w:val="none"/>
        </w:rPr>
        <w:t>是否邀请专家参加验收：是否</w:t>
      </w:r>
    </w:p>
    <w:p>
      <w:pPr>
        <w:pStyle w:val="19"/>
        <w:jc w:val="left"/>
        <w:rPr>
          <w:color w:val="auto"/>
          <w:highlight w:val="none"/>
        </w:rPr>
      </w:pPr>
      <w:r>
        <w:rPr>
          <w:color w:val="auto"/>
          <w:highlight w:val="none"/>
        </w:rPr>
        <w:t>是否邀请服务对象参加验收：是否</w:t>
      </w:r>
    </w:p>
    <w:p>
      <w:pPr>
        <w:pStyle w:val="19"/>
        <w:jc w:val="left"/>
        <w:rPr>
          <w:color w:val="auto"/>
          <w:highlight w:val="none"/>
        </w:rPr>
      </w:pPr>
      <w:r>
        <w:rPr>
          <w:color w:val="auto"/>
          <w:highlight w:val="none"/>
        </w:rPr>
        <w:t>是否邀请第三方检测机构参加验收：是否</w:t>
      </w:r>
    </w:p>
    <w:p>
      <w:pPr>
        <w:pStyle w:val="19"/>
        <w:jc w:val="left"/>
        <w:rPr>
          <w:color w:val="auto"/>
          <w:highlight w:val="none"/>
        </w:rPr>
      </w:pPr>
      <w:r>
        <w:rPr>
          <w:color w:val="auto"/>
          <w:highlight w:val="none"/>
        </w:rPr>
        <w:t>是否进行抽查检测： 是，抽查比例：__________%否</w:t>
      </w:r>
    </w:p>
    <w:p>
      <w:pPr>
        <w:pStyle w:val="19"/>
        <w:jc w:val="left"/>
        <w:rPr>
          <w:color w:val="auto"/>
          <w:highlight w:val="none"/>
        </w:rPr>
      </w:pPr>
      <w:r>
        <w:rPr>
          <w:color w:val="auto"/>
          <w:highlight w:val="none"/>
        </w:rPr>
        <w:t>是否存在破坏性检测： 是，__________否</w:t>
      </w:r>
    </w:p>
    <w:p>
      <w:pPr>
        <w:pStyle w:val="19"/>
        <w:jc w:val="left"/>
        <w:rPr>
          <w:color w:val="auto"/>
          <w:highlight w:val="none"/>
        </w:rPr>
      </w:pPr>
      <w:r>
        <w:rPr>
          <w:color w:val="auto"/>
          <w:highlight w:val="none"/>
        </w:rPr>
        <w:t>验收组织的其他事项：____________________</w:t>
      </w:r>
    </w:p>
    <w:p>
      <w:pPr>
        <w:pStyle w:val="19"/>
        <w:jc w:val="left"/>
        <w:rPr>
          <w:color w:val="auto"/>
          <w:highlight w:val="none"/>
        </w:rPr>
      </w:pPr>
      <w:r>
        <w:rPr>
          <w:color w:val="auto"/>
          <w:highlight w:val="none"/>
        </w:rPr>
        <w:t>（2）履约验收时间：计划于何时验收/供应商提出验收申请之日起_______日内组织验收</w:t>
      </w:r>
    </w:p>
    <w:p>
      <w:pPr>
        <w:pStyle w:val="19"/>
        <w:jc w:val="left"/>
        <w:rPr>
          <w:color w:val="auto"/>
          <w:highlight w:val="none"/>
        </w:rPr>
      </w:pPr>
      <w:r>
        <w:rPr>
          <w:color w:val="auto"/>
          <w:highlight w:val="none"/>
        </w:rPr>
        <w:t>（3）履约验收方式：一次性验收分期/分项验收：__________</w:t>
      </w:r>
    </w:p>
    <w:p>
      <w:pPr>
        <w:pStyle w:val="19"/>
        <w:jc w:val="left"/>
        <w:rPr>
          <w:color w:val="auto"/>
          <w:highlight w:val="none"/>
        </w:rPr>
      </w:pPr>
      <w:r>
        <w:rPr>
          <w:color w:val="auto"/>
          <w:highlight w:val="none"/>
        </w:rPr>
        <w:t>（4）履约验收程序：____________________</w:t>
      </w:r>
    </w:p>
    <w:p>
      <w:pPr>
        <w:pStyle w:val="19"/>
        <w:jc w:val="left"/>
        <w:rPr>
          <w:color w:val="auto"/>
          <w:highlight w:val="none"/>
        </w:rPr>
      </w:pPr>
      <w:r>
        <w:rPr>
          <w:color w:val="auto"/>
          <w:highlight w:val="none"/>
        </w:rPr>
        <w:t>（5）履约验收的内容：_________（应当包括每一项技术和商务要求的履约情况，特别是落实政府采购扶持中小企业，支持绿色发展和乡村振兴等政策情况）___________</w:t>
      </w:r>
    </w:p>
    <w:p>
      <w:pPr>
        <w:pStyle w:val="19"/>
        <w:jc w:val="left"/>
        <w:rPr>
          <w:color w:val="auto"/>
          <w:highlight w:val="none"/>
        </w:rPr>
      </w:pPr>
      <w:r>
        <w:rPr>
          <w:color w:val="auto"/>
          <w:highlight w:val="none"/>
        </w:rPr>
        <w:t>（6）履约验收标准：_____________________________</w:t>
      </w:r>
    </w:p>
    <w:p>
      <w:pPr>
        <w:pStyle w:val="19"/>
        <w:jc w:val="left"/>
        <w:rPr>
          <w:color w:val="auto"/>
          <w:highlight w:val="none"/>
        </w:rPr>
      </w:pPr>
      <w:r>
        <w:rPr>
          <w:color w:val="auto"/>
          <w:highlight w:val="none"/>
        </w:rPr>
        <w:t>（7）是否以采购活动中供应商提供的样品作为参考：是否</w:t>
      </w:r>
    </w:p>
    <w:p>
      <w:pPr>
        <w:pStyle w:val="19"/>
        <w:jc w:val="left"/>
        <w:rPr>
          <w:color w:val="auto"/>
          <w:highlight w:val="none"/>
        </w:rPr>
      </w:pPr>
      <w:r>
        <w:rPr>
          <w:color w:val="auto"/>
          <w:highlight w:val="none"/>
        </w:rPr>
        <w:t>（8）履约验收其他事项：_______________</w:t>
      </w:r>
    </w:p>
    <w:p>
      <w:pPr>
        <w:pStyle w:val="19"/>
        <w:jc w:val="left"/>
        <w:outlineLvl w:val="2"/>
        <w:rPr>
          <w:color w:val="auto"/>
          <w:highlight w:val="none"/>
        </w:rPr>
      </w:pPr>
      <w:r>
        <w:rPr>
          <w:b/>
          <w:color w:val="auto"/>
          <w:sz w:val="28"/>
          <w:highlight w:val="none"/>
        </w:rPr>
        <w:t>5.组成合同的文件</w:t>
      </w:r>
    </w:p>
    <w:p>
      <w:pPr>
        <w:pStyle w:val="19"/>
        <w:jc w:val="left"/>
        <w:rPr>
          <w:color w:val="auto"/>
          <w:highlight w:val="none"/>
        </w:rPr>
      </w:pPr>
      <w:r>
        <w:rPr>
          <w:color w:val="auto"/>
          <w:highlight w:val="none"/>
        </w:rPr>
        <w:t>本协议书与下列文件一起构成合同文件，如下述文件之间有任何抵触、矛盾或歧义，应按以下顺序解释：</w:t>
      </w:r>
    </w:p>
    <w:p>
      <w:pPr>
        <w:pStyle w:val="19"/>
        <w:jc w:val="left"/>
        <w:rPr>
          <w:color w:val="auto"/>
          <w:highlight w:val="none"/>
        </w:rPr>
      </w:pPr>
      <w:r>
        <w:rPr>
          <w:color w:val="auto"/>
          <w:highlight w:val="none"/>
        </w:rPr>
        <w:t>（1）政府采购合同协议书及其变更、补充协议</w:t>
      </w:r>
    </w:p>
    <w:p>
      <w:pPr>
        <w:pStyle w:val="19"/>
        <w:jc w:val="left"/>
        <w:rPr>
          <w:color w:val="auto"/>
          <w:highlight w:val="none"/>
        </w:rPr>
      </w:pPr>
      <w:r>
        <w:rPr>
          <w:color w:val="auto"/>
          <w:highlight w:val="none"/>
        </w:rPr>
        <w:t>（2）政府采购合同专用条款</w:t>
      </w:r>
    </w:p>
    <w:p>
      <w:pPr>
        <w:pStyle w:val="19"/>
        <w:jc w:val="left"/>
        <w:rPr>
          <w:color w:val="auto"/>
          <w:highlight w:val="none"/>
        </w:rPr>
      </w:pPr>
      <w:r>
        <w:rPr>
          <w:color w:val="auto"/>
          <w:highlight w:val="none"/>
        </w:rPr>
        <w:t>（3）政府采购合同通用条款</w:t>
      </w:r>
    </w:p>
    <w:p>
      <w:pPr>
        <w:pStyle w:val="19"/>
        <w:jc w:val="left"/>
        <w:rPr>
          <w:color w:val="auto"/>
          <w:highlight w:val="none"/>
        </w:rPr>
      </w:pPr>
      <w:r>
        <w:rPr>
          <w:color w:val="auto"/>
          <w:highlight w:val="none"/>
        </w:rPr>
        <w:t>（4）中标（</w:t>
      </w:r>
      <w:r>
        <w:rPr>
          <w:rFonts w:hint="eastAsia"/>
          <w:color w:val="auto"/>
          <w:highlight w:val="none"/>
          <w:lang w:eastAsia="zh-CN"/>
        </w:rPr>
        <w:t>中标</w:t>
      </w:r>
      <w:r>
        <w:rPr>
          <w:color w:val="auto"/>
          <w:highlight w:val="none"/>
        </w:rPr>
        <w:t>）通知书</w:t>
      </w:r>
    </w:p>
    <w:p>
      <w:pPr>
        <w:pStyle w:val="19"/>
        <w:jc w:val="left"/>
        <w:rPr>
          <w:color w:val="auto"/>
          <w:highlight w:val="none"/>
        </w:rPr>
      </w:pPr>
      <w:r>
        <w:rPr>
          <w:color w:val="auto"/>
          <w:highlight w:val="none"/>
        </w:rPr>
        <w:t>（5）投标（响应）文件</w:t>
      </w:r>
    </w:p>
    <w:p>
      <w:pPr>
        <w:pStyle w:val="19"/>
        <w:jc w:val="left"/>
        <w:rPr>
          <w:color w:val="auto"/>
          <w:highlight w:val="none"/>
        </w:rPr>
      </w:pPr>
      <w:r>
        <w:rPr>
          <w:color w:val="auto"/>
          <w:highlight w:val="none"/>
        </w:rPr>
        <w:t>（6）采购文件</w:t>
      </w:r>
    </w:p>
    <w:p>
      <w:pPr>
        <w:pStyle w:val="19"/>
        <w:jc w:val="left"/>
        <w:rPr>
          <w:color w:val="auto"/>
          <w:highlight w:val="none"/>
        </w:rPr>
      </w:pPr>
      <w:r>
        <w:rPr>
          <w:color w:val="auto"/>
          <w:highlight w:val="none"/>
        </w:rPr>
        <w:t>（7）有关技术文件，图纸</w:t>
      </w:r>
    </w:p>
    <w:p>
      <w:pPr>
        <w:pStyle w:val="19"/>
        <w:jc w:val="left"/>
        <w:rPr>
          <w:color w:val="auto"/>
          <w:highlight w:val="none"/>
        </w:rPr>
      </w:pPr>
      <w:r>
        <w:rPr>
          <w:color w:val="auto"/>
          <w:highlight w:val="none"/>
        </w:rPr>
        <w:t>（8）国家法律、行政法规和规章制度规定或合同约定的作为合同组成部分的其他文件</w:t>
      </w:r>
    </w:p>
    <w:p>
      <w:pPr>
        <w:pStyle w:val="19"/>
        <w:jc w:val="left"/>
        <w:outlineLvl w:val="2"/>
        <w:rPr>
          <w:color w:val="auto"/>
          <w:highlight w:val="none"/>
        </w:rPr>
      </w:pPr>
      <w:r>
        <w:rPr>
          <w:b/>
          <w:color w:val="auto"/>
          <w:sz w:val="28"/>
          <w:highlight w:val="none"/>
        </w:rPr>
        <w:t>6.合同生效</w:t>
      </w:r>
    </w:p>
    <w:p>
      <w:pPr>
        <w:pStyle w:val="19"/>
        <w:jc w:val="left"/>
        <w:rPr>
          <w:color w:val="auto"/>
          <w:highlight w:val="none"/>
        </w:rPr>
      </w:pPr>
      <w:r>
        <w:rPr>
          <w:color w:val="auto"/>
          <w:highlight w:val="none"/>
        </w:rPr>
        <w:t>本合同自____________________生效。</w:t>
      </w:r>
    </w:p>
    <w:p>
      <w:pPr>
        <w:pStyle w:val="19"/>
        <w:jc w:val="left"/>
        <w:outlineLvl w:val="2"/>
        <w:rPr>
          <w:color w:val="auto"/>
          <w:highlight w:val="none"/>
        </w:rPr>
      </w:pPr>
      <w:r>
        <w:rPr>
          <w:b/>
          <w:color w:val="auto"/>
          <w:sz w:val="28"/>
          <w:highlight w:val="none"/>
        </w:rPr>
        <w:t>7.合同份数</w:t>
      </w:r>
    </w:p>
    <w:p>
      <w:pPr>
        <w:pStyle w:val="19"/>
        <w:jc w:val="left"/>
        <w:rPr>
          <w:color w:val="auto"/>
          <w:highlight w:val="none"/>
        </w:rPr>
      </w:pPr>
      <w:r>
        <w:rPr>
          <w:color w:val="auto"/>
          <w:highlight w:val="none"/>
        </w:rPr>
        <w:t>本合同一式 _______ 份，甲方执 _______ 份，乙方执 _______ 份，均具有同等法律效力。</w:t>
      </w:r>
    </w:p>
    <w:p>
      <w:pPr>
        <w:pStyle w:val="19"/>
        <w:jc w:val="left"/>
        <w:rPr>
          <w:color w:val="auto"/>
          <w:highlight w:val="none"/>
        </w:rPr>
      </w:pPr>
      <w:r>
        <w:rPr>
          <w:color w:val="auto"/>
          <w:highlight w:val="none"/>
        </w:rPr>
        <w:t>合同订立时间：详见本合同封面的签订时间。</w:t>
      </w:r>
    </w:p>
    <w:p>
      <w:pPr>
        <w:pStyle w:val="19"/>
        <w:jc w:val="left"/>
        <w:rPr>
          <w:color w:val="auto"/>
          <w:highlight w:val="none"/>
        </w:rPr>
      </w:pPr>
      <w:r>
        <w:rPr>
          <w:color w:val="auto"/>
          <w:highlight w:val="none"/>
        </w:rPr>
        <w:t>合同订立地点： ____________________________</w:t>
      </w:r>
    </w:p>
    <w:p>
      <w:pPr>
        <w:pStyle w:val="19"/>
        <w:jc w:val="left"/>
        <w:rPr>
          <w:color w:val="auto"/>
          <w:highlight w:val="none"/>
        </w:rPr>
      </w:pPr>
      <w:r>
        <w:rPr>
          <w:color w:val="auto"/>
          <w:highlight w:val="none"/>
        </w:rPr>
        <w:t>附件：具体标的及其技术要求和商务要求、联合协议、分包意向协议等。</w:t>
      </w:r>
      <w:r>
        <w:rPr>
          <w:color w:val="auto"/>
          <w:highlight w:val="none"/>
        </w:rPr>
        <w:br w:type="textWrapping"/>
      </w:r>
      <w:r>
        <w:rPr>
          <w:color w:val="auto"/>
          <w:highlight w:val="none"/>
        </w:rPr>
        <w:br w:type="textWrapping"/>
      </w:r>
      <w:r>
        <w:rPr>
          <w:color w:val="auto"/>
          <w:highlight w:val="none"/>
        </w:rPr>
        <w:br w:type="textWrapping"/>
      </w:r>
    </w:p>
    <w:p>
      <w:pPr>
        <w:pStyle w:val="19"/>
        <w:jc w:val="left"/>
        <w:rPr>
          <w:color w:val="auto"/>
          <w:highlight w:val="none"/>
        </w:rPr>
      </w:pPr>
      <w:r>
        <w:rPr>
          <w:color w:val="auto"/>
          <w:highlight w:val="none"/>
        </w:rPr>
        <w:t>甲方（采购人、受采购人委托签订合同的单位或采购文件约定的合同甲方）</w:t>
      </w:r>
    </w:p>
    <w:p>
      <w:pPr>
        <w:pStyle w:val="19"/>
        <w:jc w:val="left"/>
        <w:rPr>
          <w:color w:val="auto"/>
          <w:highlight w:val="none"/>
        </w:rPr>
      </w:pPr>
      <w:r>
        <w:rPr>
          <w:color w:val="auto"/>
          <w:highlight w:val="none"/>
        </w:rPr>
        <w:t xml:space="preserve"> 单位名称（公章或合同章）： {{未填写}}（盖章）</w:t>
      </w:r>
    </w:p>
    <w:p>
      <w:pPr>
        <w:pStyle w:val="19"/>
        <w:jc w:val="left"/>
        <w:rPr>
          <w:color w:val="auto"/>
          <w:highlight w:val="none"/>
        </w:rPr>
      </w:pPr>
      <w:r>
        <w:rPr>
          <w:color w:val="auto"/>
          <w:highlight w:val="none"/>
        </w:rPr>
        <w:t xml:space="preserve"> 法定代表人或其委托代理人（签章）：{{未填写}}</w:t>
      </w:r>
    </w:p>
    <w:p>
      <w:pPr>
        <w:pStyle w:val="19"/>
        <w:jc w:val="left"/>
        <w:rPr>
          <w:color w:val="auto"/>
          <w:highlight w:val="none"/>
        </w:rPr>
      </w:pPr>
      <w:r>
        <w:rPr>
          <w:color w:val="auto"/>
          <w:highlight w:val="none"/>
        </w:rPr>
        <w:t xml:space="preserve"> 住 所：{{未填写}}</w:t>
      </w:r>
    </w:p>
    <w:p>
      <w:pPr>
        <w:pStyle w:val="19"/>
        <w:jc w:val="left"/>
        <w:rPr>
          <w:color w:val="auto"/>
          <w:highlight w:val="none"/>
        </w:rPr>
      </w:pPr>
      <w:r>
        <w:rPr>
          <w:color w:val="auto"/>
          <w:highlight w:val="none"/>
        </w:rPr>
        <w:t xml:space="preserve"> 联 系 人：{{未填写}}</w:t>
      </w:r>
    </w:p>
    <w:p>
      <w:pPr>
        <w:pStyle w:val="19"/>
        <w:jc w:val="left"/>
        <w:rPr>
          <w:color w:val="auto"/>
          <w:highlight w:val="none"/>
        </w:rPr>
      </w:pPr>
      <w:r>
        <w:rPr>
          <w:color w:val="auto"/>
          <w:highlight w:val="none"/>
        </w:rPr>
        <w:t xml:space="preserve"> 联系电话：{{未填写}}</w:t>
      </w:r>
    </w:p>
    <w:p>
      <w:pPr>
        <w:pStyle w:val="19"/>
        <w:jc w:val="left"/>
        <w:rPr>
          <w:color w:val="auto"/>
          <w:highlight w:val="none"/>
        </w:rPr>
      </w:pPr>
      <w:r>
        <w:rPr>
          <w:color w:val="auto"/>
          <w:highlight w:val="none"/>
        </w:rPr>
        <w:t xml:space="preserve"> 通信地址：{{未填写}}</w:t>
      </w:r>
    </w:p>
    <w:p>
      <w:pPr>
        <w:pStyle w:val="19"/>
        <w:jc w:val="left"/>
        <w:rPr>
          <w:color w:val="auto"/>
          <w:highlight w:val="none"/>
        </w:rPr>
      </w:pPr>
      <w:r>
        <w:rPr>
          <w:color w:val="auto"/>
          <w:highlight w:val="none"/>
        </w:rPr>
        <w:t xml:space="preserve"> 邮政编码：{{未填写}}</w:t>
      </w:r>
    </w:p>
    <w:p>
      <w:pPr>
        <w:pStyle w:val="19"/>
        <w:jc w:val="left"/>
        <w:rPr>
          <w:color w:val="auto"/>
          <w:highlight w:val="none"/>
        </w:rPr>
      </w:pPr>
      <w:r>
        <w:rPr>
          <w:color w:val="auto"/>
          <w:highlight w:val="none"/>
        </w:rPr>
        <w:t xml:space="preserve"> 电子邮箱：{{未填写}}</w:t>
      </w:r>
    </w:p>
    <w:p>
      <w:pPr>
        <w:pStyle w:val="19"/>
        <w:jc w:val="left"/>
        <w:rPr>
          <w:color w:val="auto"/>
          <w:highlight w:val="none"/>
        </w:rPr>
      </w:pPr>
      <w:r>
        <w:rPr>
          <w:color w:val="auto"/>
          <w:highlight w:val="none"/>
        </w:rPr>
        <w:t xml:space="preserve"> 统一社会信用代码：{{未填写}}</w:t>
      </w:r>
    </w:p>
    <w:p>
      <w:pPr>
        <w:pStyle w:val="19"/>
        <w:jc w:val="left"/>
        <w:rPr>
          <w:color w:val="auto"/>
          <w:highlight w:val="none"/>
        </w:rPr>
      </w:pPr>
      <w:r>
        <w:rPr>
          <w:color w:val="auto"/>
          <w:highlight w:val="none"/>
        </w:rPr>
        <w:t xml:space="preserve"> </w:t>
      </w:r>
    </w:p>
    <w:p>
      <w:pPr>
        <w:pStyle w:val="19"/>
        <w:jc w:val="center"/>
        <w:outlineLvl w:val="1"/>
        <w:rPr>
          <w:color w:val="auto"/>
          <w:highlight w:val="none"/>
        </w:rPr>
      </w:pPr>
      <w:r>
        <w:rPr>
          <w:b/>
          <w:color w:val="auto"/>
          <w:sz w:val="36"/>
          <w:highlight w:val="none"/>
        </w:rPr>
        <w:t>第二节 政府采购合同通用条款</w:t>
      </w:r>
    </w:p>
    <w:p>
      <w:pPr>
        <w:pStyle w:val="19"/>
        <w:jc w:val="left"/>
        <w:outlineLvl w:val="2"/>
        <w:rPr>
          <w:color w:val="auto"/>
          <w:highlight w:val="none"/>
        </w:rPr>
      </w:pPr>
      <w:r>
        <w:rPr>
          <w:b/>
          <w:color w:val="auto"/>
          <w:sz w:val="28"/>
          <w:highlight w:val="none"/>
        </w:rPr>
        <w:t>1. 定义</w:t>
      </w:r>
    </w:p>
    <w:p>
      <w:pPr>
        <w:pStyle w:val="19"/>
        <w:jc w:val="left"/>
        <w:rPr>
          <w:color w:val="auto"/>
          <w:highlight w:val="none"/>
        </w:rPr>
      </w:pPr>
      <w:r>
        <w:rPr>
          <w:color w:val="auto"/>
          <w:highlight w:val="none"/>
        </w:rPr>
        <w:t>1.1合同当事人</w:t>
      </w:r>
    </w:p>
    <w:p>
      <w:pPr>
        <w:pStyle w:val="19"/>
        <w:jc w:val="left"/>
        <w:rPr>
          <w:color w:val="auto"/>
          <w:highlight w:val="none"/>
        </w:rPr>
      </w:pPr>
      <w:r>
        <w:rPr>
          <w:color w:val="auto"/>
          <w:highlight w:val="none"/>
        </w:rPr>
        <w:t>（1）采购人（以下称甲方）是指使用财政性资金，通过政府采购方式向供应商购买货物及其相关服务的国家机关、事业单位、团体组织。</w:t>
      </w:r>
    </w:p>
    <w:p>
      <w:pPr>
        <w:pStyle w:val="19"/>
        <w:jc w:val="left"/>
        <w:rPr>
          <w:color w:val="auto"/>
          <w:highlight w:val="none"/>
        </w:rPr>
      </w:pPr>
      <w:r>
        <w:rPr>
          <w:color w:val="auto"/>
          <w:highlight w:val="none"/>
        </w:rPr>
        <w:t>（2）供应商（以下称乙方）是指参加政府采购活动并且中标（</w:t>
      </w:r>
      <w:r>
        <w:rPr>
          <w:rFonts w:hint="eastAsia"/>
          <w:color w:val="auto"/>
          <w:highlight w:val="none"/>
          <w:lang w:eastAsia="zh-CN"/>
        </w:rPr>
        <w:t>中标</w:t>
      </w:r>
      <w:r>
        <w:rPr>
          <w:color w:val="auto"/>
          <w:highlight w:val="none"/>
        </w:rPr>
        <w:t>），向采购人提供合同约定的货物及其相关服务的法人、非法人组织或者自然人。</w:t>
      </w:r>
    </w:p>
    <w:p>
      <w:pPr>
        <w:pStyle w:val="19"/>
        <w:jc w:val="left"/>
        <w:rPr>
          <w:color w:val="auto"/>
          <w:highlight w:val="none"/>
        </w:rPr>
      </w:pPr>
      <w:r>
        <w:rPr>
          <w:color w:val="auto"/>
          <w:highlight w:val="none"/>
        </w:rPr>
        <w:t>（3）其他合同主体是指除采购人和供应商以外，依法参与合同缔结或履行，享有权利、承担义务的合同当事人。</w:t>
      </w:r>
    </w:p>
    <w:p>
      <w:pPr>
        <w:pStyle w:val="19"/>
        <w:jc w:val="left"/>
        <w:rPr>
          <w:color w:val="auto"/>
          <w:highlight w:val="none"/>
        </w:rPr>
      </w:pPr>
      <w:r>
        <w:rPr>
          <w:color w:val="auto"/>
          <w:highlight w:val="none"/>
        </w:rPr>
        <w:t>1.2本合同下列术语应解释为：</w:t>
      </w:r>
    </w:p>
    <w:p>
      <w:pPr>
        <w:pStyle w:val="19"/>
        <w:jc w:val="left"/>
        <w:rPr>
          <w:color w:val="auto"/>
          <w:highlight w:val="none"/>
        </w:rPr>
      </w:pPr>
      <w:r>
        <w:rPr>
          <w:color w:val="auto"/>
          <w:highlight w:val="none"/>
        </w:rPr>
        <w:t>（1）“合同”系指合同当事人意思表示达成一致的任何协议，包括签署的政府采购合同协议书及其变更、补充协议，政府采购合同专用条款，政府采购合同通用条款，中标（</w:t>
      </w:r>
      <w:r>
        <w:rPr>
          <w:rFonts w:hint="eastAsia"/>
          <w:color w:val="auto"/>
          <w:highlight w:val="none"/>
          <w:lang w:eastAsia="zh-CN"/>
        </w:rPr>
        <w:t>中标</w:t>
      </w:r>
      <w:r>
        <w:rPr>
          <w:color w:val="auto"/>
          <w:highlight w:val="none"/>
        </w:rPr>
        <w:t>）通知书，投标（响应）文件，采购文件，有关技术文件和图纸，以及国家法律、行政法规和规章制度规定或合同约定的作为合同组成部分的其他文件。</w:t>
      </w:r>
    </w:p>
    <w:p>
      <w:pPr>
        <w:pStyle w:val="19"/>
        <w:jc w:val="left"/>
        <w:rPr>
          <w:color w:val="auto"/>
          <w:highlight w:val="none"/>
        </w:rPr>
      </w:pPr>
      <w:r>
        <w:rPr>
          <w:color w:val="auto"/>
          <w:highlight w:val="none"/>
        </w:rPr>
        <w:t>（2）“合同价款”系指根据本合同规定乙方在全面履行合同义务后甲方应支付给乙方的价款。</w:t>
      </w:r>
    </w:p>
    <w:p>
      <w:pPr>
        <w:pStyle w:val="19"/>
        <w:jc w:val="left"/>
        <w:rPr>
          <w:color w:val="auto"/>
          <w:highlight w:val="none"/>
        </w:rPr>
      </w:pPr>
      <w:r>
        <w:rPr>
          <w:color w:val="auto"/>
          <w:highlight w:val="none"/>
        </w:rPr>
        <w:t>（3）“货物”系指乙方根据本合同规定须向甲方提供的各种形态和种类的物品，包括原材料、设备、产品（包括软件）及相关的其备品备件、工具、手册及其他技术资料和材料等。</w:t>
      </w:r>
    </w:p>
    <w:p>
      <w:pPr>
        <w:pStyle w:val="19"/>
        <w:jc w:val="left"/>
        <w:rPr>
          <w:color w:val="auto"/>
          <w:highlight w:val="none"/>
        </w:rPr>
      </w:pPr>
      <w:r>
        <w:rPr>
          <w:color w:val="auto"/>
          <w:highlight w:val="none"/>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pPr>
        <w:pStyle w:val="19"/>
        <w:jc w:val="left"/>
        <w:rPr>
          <w:color w:val="auto"/>
          <w:highlight w:val="none"/>
        </w:rPr>
      </w:pPr>
      <w:r>
        <w:rPr>
          <w:color w:val="auto"/>
          <w:highlight w:val="none"/>
        </w:rPr>
        <w:t>（5）“分包”系指中标（</w:t>
      </w:r>
      <w:r>
        <w:rPr>
          <w:rFonts w:hint="eastAsia"/>
          <w:color w:val="auto"/>
          <w:highlight w:val="none"/>
          <w:lang w:eastAsia="zh-CN"/>
        </w:rPr>
        <w:t>中标</w:t>
      </w:r>
      <w:r>
        <w:rPr>
          <w:color w:val="auto"/>
          <w:highlight w:val="none"/>
        </w:rPr>
        <w:t>）供应商按采购文件、投标（响应）文件的规定，根据分包意向协议，将中标（</w:t>
      </w:r>
      <w:r>
        <w:rPr>
          <w:rFonts w:hint="eastAsia"/>
          <w:color w:val="auto"/>
          <w:highlight w:val="none"/>
          <w:lang w:eastAsia="zh-CN"/>
        </w:rPr>
        <w:t>中标</w:t>
      </w:r>
      <w:r>
        <w:rPr>
          <w:color w:val="auto"/>
          <w:highlight w:val="none"/>
        </w:rPr>
        <w:t>）项目中的部分履约内容，分给具有相应资质条件的供应商履行合同的行为。</w:t>
      </w:r>
    </w:p>
    <w:p>
      <w:pPr>
        <w:pStyle w:val="19"/>
        <w:jc w:val="left"/>
        <w:rPr>
          <w:color w:val="auto"/>
          <w:highlight w:val="none"/>
        </w:rPr>
      </w:pPr>
      <w:r>
        <w:rPr>
          <w:color w:val="auto"/>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b/>
          <w:color w:val="auto"/>
          <w:highlight w:val="none"/>
        </w:rPr>
        <w:t>【政府采购合同专用条款】</w:t>
      </w:r>
      <w:r>
        <w:rPr>
          <w:color w:val="auto"/>
          <w:highlight w:val="none"/>
        </w:rPr>
        <w:t>。</w:t>
      </w:r>
    </w:p>
    <w:p>
      <w:pPr>
        <w:pStyle w:val="19"/>
        <w:jc w:val="left"/>
        <w:rPr>
          <w:color w:val="auto"/>
          <w:highlight w:val="none"/>
        </w:rPr>
      </w:pPr>
      <w:r>
        <w:rPr>
          <w:color w:val="auto"/>
          <w:highlight w:val="none"/>
        </w:rPr>
        <w:t>（7）其他术语解释，见</w:t>
      </w:r>
      <w:r>
        <w:rPr>
          <w:b/>
          <w:color w:val="auto"/>
          <w:highlight w:val="none"/>
        </w:rPr>
        <w:t>【政府采购合同专用条款】</w:t>
      </w:r>
      <w:r>
        <w:rPr>
          <w:color w:val="auto"/>
          <w:highlight w:val="none"/>
        </w:rPr>
        <w:t>。</w:t>
      </w:r>
    </w:p>
    <w:p>
      <w:pPr>
        <w:pStyle w:val="19"/>
        <w:jc w:val="left"/>
        <w:outlineLvl w:val="2"/>
        <w:rPr>
          <w:color w:val="auto"/>
          <w:highlight w:val="none"/>
        </w:rPr>
      </w:pPr>
      <w:r>
        <w:rPr>
          <w:b/>
          <w:color w:val="auto"/>
          <w:sz w:val="28"/>
          <w:highlight w:val="none"/>
        </w:rPr>
        <w:t>2.合同标的及金额</w:t>
      </w:r>
    </w:p>
    <w:p>
      <w:pPr>
        <w:pStyle w:val="19"/>
        <w:jc w:val="left"/>
        <w:rPr>
          <w:color w:val="auto"/>
          <w:highlight w:val="none"/>
        </w:rPr>
      </w:pPr>
      <w:r>
        <w:rPr>
          <w:color w:val="auto"/>
          <w:highlight w:val="none"/>
        </w:rPr>
        <w:t>2.1 合同标的及金额应与中标（</w:t>
      </w:r>
      <w:r>
        <w:rPr>
          <w:rFonts w:hint="eastAsia"/>
          <w:color w:val="auto"/>
          <w:highlight w:val="none"/>
          <w:lang w:eastAsia="zh-CN"/>
        </w:rPr>
        <w:t>中标</w:t>
      </w:r>
      <w:r>
        <w:rPr>
          <w:color w:val="auto"/>
          <w:highlight w:val="none"/>
        </w:rPr>
        <w:t>）结果一致。乙方为履行本合同而</w:t>
      </w:r>
      <w:r>
        <w:rPr>
          <w:color w:val="auto"/>
          <w:highlight w:val="none"/>
        </w:rPr>
        <w:t>发生的所有</w:t>
      </w:r>
      <w:r>
        <w:rPr>
          <w:color w:val="auto"/>
          <w:highlight w:val="none"/>
        </w:rPr>
        <w:t>费用均应包含在合同价款中，甲方不再另行支付其他任何费用。</w:t>
      </w:r>
    </w:p>
    <w:p>
      <w:pPr>
        <w:pStyle w:val="19"/>
        <w:jc w:val="left"/>
        <w:outlineLvl w:val="2"/>
        <w:rPr>
          <w:color w:val="auto"/>
          <w:highlight w:val="none"/>
        </w:rPr>
      </w:pPr>
      <w:r>
        <w:rPr>
          <w:b/>
          <w:color w:val="auto"/>
          <w:sz w:val="28"/>
          <w:highlight w:val="none"/>
        </w:rPr>
        <w:t>3. 履行合同的时间、地点和方式</w:t>
      </w:r>
    </w:p>
    <w:p>
      <w:pPr>
        <w:pStyle w:val="19"/>
        <w:jc w:val="left"/>
        <w:rPr>
          <w:color w:val="auto"/>
          <w:highlight w:val="none"/>
        </w:rPr>
      </w:pPr>
      <w:r>
        <w:rPr>
          <w:color w:val="auto"/>
          <w:highlight w:val="none"/>
        </w:rPr>
        <w:t>3.1 乙方应当在约定的时间、地点，按照约定方式履行合同。</w:t>
      </w:r>
    </w:p>
    <w:p>
      <w:pPr>
        <w:pStyle w:val="19"/>
        <w:jc w:val="left"/>
        <w:outlineLvl w:val="2"/>
        <w:rPr>
          <w:color w:val="auto"/>
          <w:highlight w:val="none"/>
        </w:rPr>
      </w:pPr>
      <w:r>
        <w:rPr>
          <w:b/>
          <w:color w:val="auto"/>
          <w:sz w:val="28"/>
          <w:highlight w:val="none"/>
        </w:rPr>
        <w:t>4. 甲方的权利和义务</w:t>
      </w:r>
    </w:p>
    <w:p>
      <w:pPr>
        <w:pStyle w:val="19"/>
        <w:jc w:val="left"/>
        <w:rPr>
          <w:color w:val="auto"/>
          <w:highlight w:val="none"/>
        </w:rPr>
      </w:pPr>
      <w:r>
        <w:rPr>
          <w:color w:val="auto"/>
          <w:highlight w:val="none"/>
        </w:rPr>
        <w:t>4.1 签署合同后，甲方应确定项目负责人（或项目联系人），负责与本合同有关的事务。甲方有权对乙方的履约行为进行检查，并及时确认乙方提交的事项。甲方应当配合乙方完成相关项目实施工作。</w:t>
      </w:r>
    </w:p>
    <w:p>
      <w:pPr>
        <w:pStyle w:val="19"/>
        <w:jc w:val="left"/>
        <w:rPr>
          <w:color w:val="auto"/>
          <w:highlight w:val="none"/>
        </w:rPr>
      </w:pPr>
      <w:r>
        <w:rPr>
          <w:color w:val="auto"/>
          <w:highlight w:val="none"/>
        </w:rPr>
        <w:t>4.2 甲方有权要求乙方按时提交各阶段有关安排计划，并有权定期核对乙方提供货物数量、规格、质量等内容。甲方有权督促乙方工作并要求乙方更换不符合要求的货物。</w:t>
      </w:r>
    </w:p>
    <w:p>
      <w:pPr>
        <w:pStyle w:val="19"/>
        <w:jc w:val="left"/>
        <w:rPr>
          <w:color w:val="auto"/>
          <w:highlight w:val="none"/>
        </w:rPr>
      </w:pPr>
      <w:r>
        <w:rPr>
          <w:color w:val="auto"/>
          <w:highlight w:val="none"/>
        </w:rPr>
        <w:t>4.3 甲方有权要求乙方对缺陷部分予以修复，并按合同约定享有货物保修及其他合同约定的权利。</w:t>
      </w:r>
    </w:p>
    <w:p>
      <w:pPr>
        <w:pStyle w:val="19"/>
        <w:jc w:val="left"/>
        <w:rPr>
          <w:color w:val="auto"/>
          <w:highlight w:val="none"/>
        </w:rPr>
      </w:pPr>
      <w:r>
        <w:rPr>
          <w:color w:val="auto"/>
          <w:highlight w:val="none"/>
        </w:rPr>
        <w:t>4.4 甲方应当按照合同约定及时对交付的货物进行验收，未在</w:t>
      </w:r>
      <w:r>
        <w:rPr>
          <w:b/>
          <w:color w:val="auto"/>
          <w:highlight w:val="none"/>
        </w:rPr>
        <w:t>【政府采购合同专用条款】</w:t>
      </w:r>
      <w:r>
        <w:rPr>
          <w:color w:val="auto"/>
          <w:highlight w:val="none"/>
        </w:rPr>
        <w:t>约定的期限内对乙方履约提出任何异议或者向乙方作出任何说明的，视为验收通过。</w:t>
      </w:r>
    </w:p>
    <w:p>
      <w:pPr>
        <w:pStyle w:val="19"/>
        <w:jc w:val="left"/>
        <w:rPr>
          <w:color w:val="auto"/>
          <w:highlight w:val="none"/>
        </w:rPr>
      </w:pPr>
      <w:r>
        <w:rPr>
          <w:color w:val="auto"/>
          <w:highlight w:val="none"/>
        </w:rPr>
        <w:t>4.5 甲方应当根据合同约定及时向乙方支付合同价款，</w:t>
      </w:r>
      <w:r>
        <w:rPr>
          <w:color w:val="auto"/>
          <w:highlight w:val="none"/>
        </w:rPr>
        <w:t>不得以</w:t>
      </w:r>
      <w:r>
        <w:rPr>
          <w:color w:val="auto"/>
          <w:highlight w:val="none"/>
        </w:rPr>
        <w:t>内部人员变更、履行内部付款流程等为由，拒绝或迟延支付。</w:t>
      </w:r>
    </w:p>
    <w:p>
      <w:pPr>
        <w:pStyle w:val="19"/>
        <w:jc w:val="left"/>
        <w:rPr>
          <w:color w:val="auto"/>
          <w:highlight w:val="none"/>
        </w:rPr>
      </w:pPr>
      <w:r>
        <w:rPr>
          <w:color w:val="auto"/>
          <w:highlight w:val="none"/>
        </w:rPr>
        <w:t>4.6 国家法律法规规定及</w:t>
      </w:r>
      <w:r>
        <w:rPr>
          <w:b/>
          <w:color w:val="auto"/>
          <w:highlight w:val="none"/>
        </w:rPr>
        <w:t>【政府采购合同专用条款】</w:t>
      </w:r>
      <w:r>
        <w:rPr>
          <w:color w:val="auto"/>
          <w:highlight w:val="none"/>
        </w:rPr>
        <w:t>约定应由甲方承担的其他义务和责任。</w:t>
      </w:r>
    </w:p>
    <w:p>
      <w:pPr>
        <w:pStyle w:val="19"/>
        <w:jc w:val="left"/>
        <w:outlineLvl w:val="2"/>
        <w:rPr>
          <w:color w:val="auto"/>
          <w:highlight w:val="none"/>
        </w:rPr>
      </w:pPr>
      <w:r>
        <w:rPr>
          <w:b/>
          <w:color w:val="auto"/>
          <w:sz w:val="28"/>
          <w:highlight w:val="none"/>
        </w:rPr>
        <w:t>5. 乙方的权利和义务</w:t>
      </w:r>
    </w:p>
    <w:p>
      <w:pPr>
        <w:pStyle w:val="19"/>
        <w:jc w:val="left"/>
        <w:rPr>
          <w:color w:val="auto"/>
          <w:highlight w:val="none"/>
        </w:rPr>
      </w:pPr>
      <w:r>
        <w:rPr>
          <w:color w:val="auto"/>
          <w:highlight w:val="none"/>
        </w:rPr>
        <w:t>5.1 签署合同后，乙方应确定项目负责人（或项目联系人），负责与本合同有关的事务。</w:t>
      </w:r>
    </w:p>
    <w:p>
      <w:pPr>
        <w:pStyle w:val="19"/>
        <w:jc w:val="left"/>
        <w:rPr>
          <w:color w:val="auto"/>
          <w:highlight w:val="none"/>
        </w:rPr>
      </w:pPr>
      <w:r>
        <w:rPr>
          <w:color w:val="auto"/>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pPr>
        <w:pStyle w:val="19"/>
        <w:jc w:val="left"/>
        <w:rPr>
          <w:color w:val="auto"/>
          <w:highlight w:val="none"/>
        </w:rPr>
      </w:pPr>
      <w:r>
        <w:rPr>
          <w:color w:val="auto"/>
          <w:highlight w:val="none"/>
        </w:rPr>
        <w:t>5.3乙方有权根据合同约定向甲方收取合同价款。</w:t>
      </w:r>
    </w:p>
    <w:p>
      <w:pPr>
        <w:pStyle w:val="19"/>
        <w:jc w:val="left"/>
        <w:rPr>
          <w:color w:val="auto"/>
          <w:highlight w:val="none"/>
        </w:rPr>
      </w:pPr>
      <w:r>
        <w:rPr>
          <w:color w:val="auto"/>
          <w:highlight w:val="none"/>
        </w:rPr>
        <w:t>5.4国家法律法规规定及</w:t>
      </w:r>
      <w:r>
        <w:rPr>
          <w:b/>
          <w:color w:val="auto"/>
          <w:highlight w:val="none"/>
        </w:rPr>
        <w:t>【政府采购合同专用条款】</w:t>
      </w:r>
      <w:r>
        <w:rPr>
          <w:color w:val="auto"/>
          <w:highlight w:val="none"/>
        </w:rPr>
        <w:t>约定应由乙方承担的其他义务和责任。</w:t>
      </w:r>
    </w:p>
    <w:p>
      <w:pPr>
        <w:pStyle w:val="19"/>
        <w:jc w:val="left"/>
        <w:outlineLvl w:val="2"/>
        <w:rPr>
          <w:color w:val="auto"/>
          <w:highlight w:val="none"/>
        </w:rPr>
      </w:pPr>
      <w:r>
        <w:rPr>
          <w:b/>
          <w:color w:val="auto"/>
          <w:sz w:val="28"/>
          <w:highlight w:val="none"/>
        </w:rPr>
        <w:t>6.合同履行</w:t>
      </w:r>
    </w:p>
    <w:p>
      <w:pPr>
        <w:pStyle w:val="19"/>
        <w:jc w:val="left"/>
        <w:rPr>
          <w:color w:val="auto"/>
          <w:highlight w:val="none"/>
        </w:rPr>
      </w:pPr>
      <w:r>
        <w:rPr>
          <w:color w:val="auto"/>
          <w:highlight w:val="none"/>
        </w:rPr>
        <w:t>6.1 甲乙双方应当按照</w:t>
      </w:r>
      <w:r>
        <w:rPr>
          <w:b/>
          <w:color w:val="auto"/>
          <w:highlight w:val="none"/>
        </w:rPr>
        <w:t>【政府采购合同专用条款】</w:t>
      </w:r>
      <w:r>
        <w:rPr>
          <w:color w:val="auto"/>
          <w:highlight w:val="none"/>
        </w:rPr>
        <w:t>约定顺序履行合同义务；如果没有先后顺序的，应当同时履行。</w:t>
      </w:r>
    </w:p>
    <w:p>
      <w:pPr>
        <w:pStyle w:val="19"/>
        <w:jc w:val="left"/>
        <w:rPr>
          <w:color w:val="auto"/>
          <w:highlight w:val="none"/>
        </w:rPr>
      </w:pPr>
      <w:r>
        <w:rPr>
          <w:color w:val="auto"/>
          <w:highlight w:val="none"/>
        </w:rPr>
        <w:t>6.2 甲乙双方按照合同约定顺序履行合同义务时，应当先履行一方未履行的，后履行一方有权拒绝其履行请求。先履行一方履行不符合约定的，后履行一方有权拒绝其相应的履行请求。</w:t>
      </w:r>
    </w:p>
    <w:p>
      <w:pPr>
        <w:pStyle w:val="19"/>
        <w:jc w:val="left"/>
        <w:outlineLvl w:val="2"/>
        <w:rPr>
          <w:color w:val="auto"/>
          <w:highlight w:val="none"/>
        </w:rPr>
      </w:pPr>
      <w:r>
        <w:rPr>
          <w:b/>
          <w:color w:val="auto"/>
          <w:sz w:val="28"/>
          <w:highlight w:val="none"/>
        </w:rPr>
        <w:t>7. 货物包装、运输、保险和交付要求</w:t>
      </w:r>
    </w:p>
    <w:p>
      <w:pPr>
        <w:pStyle w:val="19"/>
        <w:jc w:val="left"/>
        <w:rPr>
          <w:color w:val="auto"/>
          <w:highlight w:val="none"/>
        </w:rPr>
      </w:pPr>
      <w:r>
        <w:rPr>
          <w:color w:val="auto"/>
          <w:highlight w:val="none"/>
        </w:rPr>
        <w:t>7.1 本合同涉及商品包装、快递包装的，除</w:t>
      </w:r>
      <w:r>
        <w:rPr>
          <w:b/>
          <w:color w:val="auto"/>
          <w:highlight w:val="none"/>
        </w:rPr>
        <w:t>【政府采购合同专用条款】</w:t>
      </w:r>
      <w:r>
        <w:rPr>
          <w:color w:val="auto"/>
          <w:highlight w:val="none"/>
        </w:rPr>
        <w:t>另有约定外，包装应适应远距离运输、防潮、防震、防锈和防野蛮装卸等要求，确保货物安全无损地运抵</w:t>
      </w:r>
      <w:r>
        <w:rPr>
          <w:b/>
          <w:color w:val="auto"/>
          <w:highlight w:val="none"/>
        </w:rPr>
        <w:t>【政府采购合同专用条款】</w:t>
      </w:r>
      <w:r>
        <w:rPr>
          <w:color w:val="auto"/>
          <w:highlight w:val="none"/>
        </w:rPr>
        <w:t>约定的指定现场。</w:t>
      </w:r>
    </w:p>
    <w:p>
      <w:pPr>
        <w:pStyle w:val="19"/>
        <w:jc w:val="left"/>
        <w:rPr>
          <w:color w:val="auto"/>
          <w:highlight w:val="none"/>
        </w:rPr>
      </w:pPr>
      <w:r>
        <w:rPr>
          <w:color w:val="auto"/>
          <w:highlight w:val="none"/>
        </w:rPr>
        <w:t>7.2 除</w:t>
      </w:r>
      <w:r>
        <w:rPr>
          <w:b/>
          <w:color w:val="auto"/>
          <w:highlight w:val="none"/>
        </w:rPr>
        <w:t>【政府采购合同专用条款】</w:t>
      </w:r>
      <w:r>
        <w:rPr>
          <w:color w:val="auto"/>
          <w:highlight w:val="none"/>
        </w:rPr>
        <w:t>另有约定外，乙方负责办理将货物运抵本合同规定的交货地点，并装卸、交付至甲方的一切运输事项，相关费用应包含在合同价款中。</w:t>
      </w:r>
    </w:p>
    <w:p>
      <w:pPr>
        <w:pStyle w:val="19"/>
        <w:jc w:val="left"/>
        <w:rPr>
          <w:color w:val="auto"/>
          <w:highlight w:val="none"/>
        </w:rPr>
      </w:pPr>
      <w:r>
        <w:rPr>
          <w:color w:val="auto"/>
          <w:highlight w:val="none"/>
        </w:rPr>
        <w:t>7.3 货物保险要求按</w:t>
      </w:r>
      <w:r>
        <w:rPr>
          <w:b/>
          <w:color w:val="auto"/>
          <w:highlight w:val="none"/>
        </w:rPr>
        <w:t>【政府采购合同专用条款】</w:t>
      </w:r>
      <w:r>
        <w:rPr>
          <w:color w:val="auto"/>
          <w:highlight w:val="none"/>
        </w:rPr>
        <w:t>规定执行。</w:t>
      </w:r>
    </w:p>
    <w:p>
      <w:pPr>
        <w:pStyle w:val="19"/>
        <w:jc w:val="left"/>
        <w:rPr>
          <w:color w:val="auto"/>
          <w:highlight w:val="none"/>
        </w:rPr>
      </w:pPr>
      <w:r>
        <w:rPr>
          <w:color w:val="auto"/>
          <w:highlight w:val="none"/>
        </w:rPr>
        <w:t>7.4 除采购活动对商品包装、快递包装达成具体约定外，乙方提供产品及相关快递服务</w:t>
      </w:r>
      <w:r>
        <w:rPr>
          <w:color w:val="auto"/>
          <w:highlight w:val="none"/>
        </w:rPr>
        <w:t>涉及到</w:t>
      </w:r>
      <w:r>
        <w:rPr>
          <w:color w:val="auto"/>
          <w:highlight w:val="none"/>
        </w:rPr>
        <w:t>具体包装要求的，应不低于《商品包装政府采购需求标准（试行）》《快递包装政府采购需求标准（试行）》标准，并作为履约验收的内容，必要时甲方可以要求乙方在履约验收环节出具检测报告。</w:t>
      </w:r>
    </w:p>
    <w:p>
      <w:pPr>
        <w:pStyle w:val="19"/>
        <w:jc w:val="left"/>
        <w:rPr>
          <w:color w:val="auto"/>
          <w:highlight w:val="none"/>
        </w:rPr>
      </w:pPr>
      <w:r>
        <w:rPr>
          <w:color w:val="auto"/>
          <w:highlight w:val="none"/>
        </w:rPr>
        <w:t>7.5 乙方在运输到达之前应提前通知甲方，并提示货物运输装卸的注意事项，甲方配合乙方做好货物的接收工作。</w:t>
      </w:r>
    </w:p>
    <w:p>
      <w:pPr>
        <w:pStyle w:val="19"/>
        <w:jc w:val="left"/>
        <w:rPr>
          <w:color w:val="auto"/>
          <w:highlight w:val="none"/>
        </w:rPr>
      </w:pPr>
      <w:r>
        <w:rPr>
          <w:color w:val="auto"/>
          <w:highlight w:val="none"/>
        </w:rPr>
        <w:t>7.6 如因包装、运输问题导致货物损毁、丢失或者品质下降，甲方有权要求降价、换货、拒收部分或整批货物，由此产生的费用和损失，均由乙方承担。</w:t>
      </w:r>
    </w:p>
    <w:p>
      <w:pPr>
        <w:pStyle w:val="19"/>
        <w:jc w:val="left"/>
        <w:outlineLvl w:val="2"/>
        <w:rPr>
          <w:color w:val="auto"/>
          <w:highlight w:val="none"/>
        </w:rPr>
      </w:pPr>
      <w:r>
        <w:rPr>
          <w:b/>
          <w:color w:val="auto"/>
          <w:sz w:val="28"/>
          <w:highlight w:val="none"/>
        </w:rPr>
        <w:t>8. 质量标准和保证</w:t>
      </w:r>
    </w:p>
    <w:p>
      <w:pPr>
        <w:pStyle w:val="19"/>
        <w:jc w:val="left"/>
        <w:rPr>
          <w:color w:val="auto"/>
          <w:highlight w:val="none"/>
        </w:rPr>
      </w:pPr>
      <w:r>
        <w:rPr>
          <w:color w:val="auto"/>
          <w:highlight w:val="none"/>
        </w:rPr>
        <w:t>8.1 质量标准</w:t>
      </w:r>
    </w:p>
    <w:p>
      <w:pPr>
        <w:pStyle w:val="19"/>
        <w:jc w:val="left"/>
        <w:rPr>
          <w:color w:val="auto"/>
          <w:highlight w:val="none"/>
        </w:rPr>
      </w:pPr>
      <w:r>
        <w:rPr>
          <w:color w:val="auto"/>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19"/>
        <w:jc w:val="left"/>
        <w:rPr>
          <w:color w:val="auto"/>
          <w:highlight w:val="none"/>
        </w:rPr>
      </w:pPr>
      <w:r>
        <w:rPr>
          <w:color w:val="auto"/>
          <w:highlight w:val="none"/>
        </w:rPr>
        <w:t>（2）采用中华人民共和国法定计量单位。</w:t>
      </w:r>
    </w:p>
    <w:p>
      <w:pPr>
        <w:pStyle w:val="19"/>
        <w:jc w:val="left"/>
        <w:rPr>
          <w:color w:val="auto"/>
          <w:highlight w:val="none"/>
        </w:rPr>
      </w:pPr>
      <w:r>
        <w:rPr>
          <w:color w:val="auto"/>
          <w:highlight w:val="none"/>
        </w:rPr>
        <w:t>（3）乙方所提供的货物应符合国家有关安全、环保、卫生的规定。</w:t>
      </w:r>
    </w:p>
    <w:p>
      <w:pPr>
        <w:pStyle w:val="19"/>
        <w:jc w:val="left"/>
        <w:rPr>
          <w:color w:val="auto"/>
          <w:highlight w:val="none"/>
        </w:rPr>
      </w:pPr>
      <w:r>
        <w:rPr>
          <w:color w:val="auto"/>
          <w:highlight w:val="none"/>
        </w:rPr>
        <w:t>（4）乙方应向甲方提交所提供货物的技术文件，包括相应的中文技术文件，如：产品目录、图纸、操作手册、使用说明、维护手册或服务指南等。上述文件应包装好随货物一同发运。</w:t>
      </w:r>
    </w:p>
    <w:p>
      <w:pPr>
        <w:pStyle w:val="19"/>
        <w:jc w:val="left"/>
        <w:rPr>
          <w:color w:val="auto"/>
          <w:highlight w:val="none"/>
        </w:rPr>
      </w:pPr>
      <w:r>
        <w:rPr>
          <w:color w:val="auto"/>
          <w:highlight w:val="none"/>
        </w:rPr>
        <w:t>8.2 保证</w:t>
      </w:r>
    </w:p>
    <w:p>
      <w:pPr>
        <w:pStyle w:val="19"/>
        <w:jc w:val="left"/>
        <w:rPr>
          <w:color w:val="auto"/>
          <w:highlight w:val="none"/>
        </w:rPr>
      </w:pPr>
      <w:r>
        <w:rPr>
          <w:color w:val="auto"/>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pPr>
        <w:pStyle w:val="19"/>
        <w:jc w:val="left"/>
        <w:rPr>
          <w:color w:val="auto"/>
          <w:highlight w:val="none"/>
        </w:rPr>
      </w:pPr>
      <w:r>
        <w:rPr>
          <w:color w:val="auto"/>
          <w:highlight w:val="none"/>
        </w:rPr>
        <w:t>（2）在质量保证期内所发现的缺陷，甲方应尽快以书面形式通知乙方。</w:t>
      </w:r>
    </w:p>
    <w:p>
      <w:pPr>
        <w:pStyle w:val="19"/>
        <w:jc w:val="left"/>
        <w:rPr>
          <w:color w:val="auto"/>
          <w:highlight w:val="none"/>
        </w:rPr>
      </w:pPr>
      <w:r>
        <w:rPr>
          <w:color w:val="auto"/>
          <w:highlight w:val="none"/>
        </w:rPr>
        <w:t>（3）乙方收到通知后，应在【政府采购合同专用条款】规定的响应时间内以合理的速度免费维修或更换有缺陷的货物或部件。</w:t>
      </w:r>
    </w:p>
    <w:p>
      <w:pPr>
        <w:pStyle w:val="19"/>
        <w:jc w:val="left"/>
        <w:rPr>
          <w:color w:val="auto"/>
          <w:highlight w:val="none"/>
        </w:rPr>
      </w:pPr>
      <w:r>
        <w:rPr>
          <w:color w:val="auto"/>
          <w:highlight w:val="none"/>
        </w:rPr>
        <w:t>（4）在质量保证期内，如果货物的质量或规格与合同不符，或证实货物是有缺陷的，包括潜在的缺陷或使用不符合要求的材料等，甲方可以根据本合同第15.1条规定以书面形式追究乙方的违约责任。</w:t>
      </w:r>
    </w:p>
    <w:p>
      <w:pPr>
        <w:pStyle w:val="19"/>
        <w:jc w:val="left"/>
        <w:rPr>
          <w:color w:val="auto"/>
          <w:highlight w:val="none"/>
        </w:rPr>
      </w:pPr>
      <w:r>
        <w:rPr>
          <w:color w:val="auto"/>
          <w:highlight w:val="none"/>
        </w:rPr>
        <w:t>（5）乙方在约定的时间内未能弥补缺陷，甲方可采取必要的补救措施，但其风险和费用将由乙方承担，甲方根据合同约定对乙方行使的其他权利不受影响。</w:t>
      </w:r>
    </w:p>
    <w:p>
      <w:pPr>
        <w:pStyle w:val="19"/>
        <w:jc w:val="left"/>
        <w:outlineLvl w:val="2"/>
        <w:rPr>
          <w:color w:val="auto"/>
          <w:highlight w:val="none"/>
        </w:rPr>
      </w:pPr>
      <w:r>
        <w:rPr>
          <w:b/>
          <w:color w:val="auto"/>
          <w:sz w:val="28"/>
          <w:highlight w:val="none"/>
        </w:rPr>
        <w:t>9. 权利瑕疵担保</w:t>
      </w:r>
    </w:p>
    <w:p>
      <w:pPr>
        <w:pStyle w:val="19"/>
        <w:jc w:val="left"/>
        <w:rPr>
          <w:color w:val="auto"/>
          <w:highlight w:val="none"/>
        </w:rPr>
      </w:pPr>
      <w:r>
        <w:rPr>
          <w:color w:val="auto"/>
          <w:highlight w:val="none"/>
        </w:rPr>
        <w:t>9.1 乙方保证对其出售的货物享有合法的权利。</w:t>
      </w:r>
    </w:p>
    <w:p>
      <w:pPr>
        <w:pStyle w:val="19"/>
        <w:jc w:val="left"/>
        <w:rPr>
          <w:color w:val="auto"/>
          <w:highlight w:val="none"/>
        </w:rPr>
      </w:pPr>
      <w:r>
        <w:rPr>
          <w:color w:val="auto"/>
          <w:highlight w:val="none"/>
        </w:rPr>
        <w:t>9.2 乙方保证在交付的货物上不存在抵押权等担保物权。</w:t>
      </w:r>
    </w:p>
    <w:p>
      <w:pPr>
        <w:pStyle w:val="19"/>
        <w:jc w:val="left"/>
        <w:rPr>
          <w:color w:val="auto"/>
          <w:highlight w:val="none"/>
        </w:rPr>
      </w:pPr>
      <w:r>
        <w:rPr>
          <w:color w:val="auto"/>
          <w:highlight w:val="none"/>
        </w:rPr>
        <w:t>9.3 如甲方使用上述货物构成对第三人侵权的，则由乙方承担全部责任。</w:t>
      </w:r>
    </w:p>
    <w:p>
      <w:pPr>
        <w:pStyle w:val="19"/>
        <w:jc w:val="left"/>
        <w:outlineLvl w:val="2"/>
        <w:rPr>
          <w:color w:val="auto"/>
          <w:highlight w:val="none"/>
        </w:rPr>
      </w:pPr>
      <w:r>
        <w:rPr>
          <w:b/>
          <w:color w:val="auto"/>
          <w:sz w:val="28"/>
          <w:highlight w:val="none"/>
        </w:rPr>
        <w:t>10. 知识产权保护</w:t>
      </w:r>
    </w:p>
    <w:p>
      <w:pPr>
        <w:pStyle w:val="19"/>
        <w:jc w:val="left"/>
        <w:rPr>
          <w:color w:val="auto"/>
          <w:highlight w:val="none"/>
        </w:rPr>
      </w:pPr>
      <w:r>
        <w:rPr>
          <w:color w:val="auto"/>
          <w:highlight w:val="none"/>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pPr>
        <w:pStyle w:val="19"/>
        <w:jc w:val="left"/>
        <w:outlineLvl w:val="2"/>
        <w:rPr>
          <w:color w:val="auto"/>
          <w:highlight w:val="none"/>
        </w:rPr>
      </w:pPr>
      <w:r>
        <w:rPr>
          <w:b/>
          <w:color w:val="auto"/>
          <w:sz w:val="28"/>
          <w:highlight w:val="none"/>
        </w:rPr>
        <w:t>11. 保密义务</w:t>
      </w:r>
    </w:p>
    <w:p>
      <w:pPr>
        <w:pStyle w:val="19"/>
        <w:jc w:val="left"/>
        <w:rPr>
          <w:color w:val="auto"/>
          <w:highlight w:val="none"/>
        </w:rPr>
      </w:pPr>
      <w:r>
        <w:rPr>
          <w:color w:val="auto"/>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b/>
          <w:color w:val="auto"/>
          <w:highlight w:val="none"/>
        </w:rPr>
        <w:t>【政府采购合同专用条款】</w:t>
      </w:r>
      <w:r>
        <w:rPr>
          <w:color w:val="auto"/>
          <w:highlight w:val="none"/>
        </w:rPr>
        <w:t>中约定。</w:t>
      </w:r>
    </w:p>
    <w:p>
      <w:pPr>
        <w:pStyle w:val="19"/>
        <w:jc w:val="left"/>
        <w:outlineLvl w:val="2"/>
        <w:rPr>
          <w:color w:val="auto"/>
          <w:highlight w:val="none"/>
        </w:rPr>
      </w:pPr>
      <w:r>
        <w:rPr>
          <w:b/>
          <w:color w:val="auto"/>
          <w:sz w:val="28"/>
          <w:highlight w:val="none"/>
        </w:rPr>
        <w:t>12. 合同价款支付</w:t>
      </w:r>
    </w:p>
    <w:p>
      <w:pPr>
        <w:pStyle w:val="19"/>
        <w:jc w:val="left"/>
        <w:rPr>
          <w:color w:val="auto"/>
          <w:highlight w:val="none"/>
        </w:rPr>
      </w:pPr>
      <w:r>
        <w:rPr>
          <w:color w:val="auto"/>
          <w:highlight w:val="none"/>
        </w:rPr>
        <w:t>12.1 合同价款支付按照国库集中支付制度及财政管理相关规定执行。</w:t>
      </w:r>
    </w:p>
    <w:p>
      <w:pPr>
        <w:pStyle w:val="19"/>
        <w:jc w:val="left"/>
        <w:rPr>
          <w:color w:val="auto"/>
          <w:highlight w:val="none"/>
        </w:rPr>
      </w:pPr>
      <w:r>
        <w:rPr>
          <w:color w:val="auto"/>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b/>
          <w:color w:val="auto"/>
          <w:highlight w:val="none"/>
        </w:rPr>
        <w:t>【政府采购合同专用条款】</w:t>
      </w:r>
      <w:r>
        <w:rPr>
          <w:color w:val="auto"/>
          <w:highlight w:val="none"/>
        </w:rPr>
        <w:t>中约定。</w:t>
      </w:r>
    </w:p>
    <w:p>
      <w:pPr>
        <w:pStyle w:val="19"/>
        <w:jc w:val="left"/>
        <w:outlineLvl w:val="2"/>
        <w:rPr>
          <w:color w:val="auto"/>
          <w:highlight w:val="none"/>
        </w:rPr>
      </w:pPr>
      <w:r>
        <w:rPr>
          <w:b/>
          <w:color w:val="auto"/>
          <w:sz w:val="28"/>
          <w:highlight w:val="none"/>
        </w:rPr>
        <w:t xml:space="preserve">13. </w:t>
      </w:r>
      <w:r>
        <w:rPr>
          <w:b/>
          <w:color w:val="auto"/>
          <w:sz w:val="28"/>
          <w:highlight w:val="none"/>
        </w:rPr>
        <w:t>履约保证金</w:t>
      </w:r>
    </w:p>
    <w:p>
      <w:pPr>
        <w:pStyle w:val="19"/>
        <w:jc w:val="left"/>
        <w:rPr>
          <w:color w:val="auto"/>
          <w:highlight w:val="none"/>
        </w:rPr>
      </w:pPr>
      <w:r>
        <w:rPr>
          <w:color w:val="auto"/>
          <w:highlight w:val="none"/>
        </w:rPr>
        <w:t>13.1 乙方应当以支票、汇票、本票或者金融机构、担保机构出具的保函等非现金形式提交。</w:t>
      </w:r>
    </w:p>
    <w:p>
      <w:pPr>
        <w:pStyle w:val="19"/>
        <w:jc w:val="left"/>
        <w:rPr>
          <w:color w:val="auto"/>
          <w:highlight w:val="none"/>
        </w:rPr>
      </w:pPr>
      <w:r>
        <w:rPr>
          <w:color w:val="auto"/>
          <w:highlight w:val="none"/>
        </w:rPr>
        <w:t>13.2 如果乙方出现</w:t>
      </w:r>
      <w:r>
        <w:rPr>
          <w:b/>
          <w:color w:val="auto"/>
          <w:highlight w:val="none"/>
        </w:rPr>
        <w:t>【政府采购合同专用条款】</w:t>
      </w:r>
      <w:r>
        <w:rPr>
          <w:color w:val="auto"/>
          <w:highlight w:val="none"/>
        </w:rPr>
        <w:t>约定情形的，</w:t>
      </w:r>
      <w:r>
        <w:rPr>
          <w:color w:val="auto"/>
          <w:highlight w:val="none"/>
        </w:rPr>
        <w:t>履约保证金</w:t>
      </w:r>
      <w:r>
        <w:rPr>
          <w:color w:val="auto"/>
          <w:highlight w:val="none"/>
        </w:rPr>
        <w:t>不予退还；如果乙方未能按合同约定全面履行义务，甲方有权从</w:t>
      </w:r>
      <w:r>
        <w:rPr>
          <w:color w:val="auto"/>
          <w:highlight w:val="none"/>
        </w:rPr>
        <w:t>履约保证金</w:t>
      </w:r>
      <w:r>
        <w:rPr>
          <w:color w:val="auto"/>
          <w:highlight w:val="none"/>
        </w:rPr>
        <w:t>中取得补偿或赔偿，且不影响甲方要求乙方承担合同约定的超过履约保证金的违约责任的权利。</w:t>
      </w:r>
    </w:p>
    <w:p>
      <w:pPr>
        <w:pStyle w:val="19"/>
        <w:jc w:val="left"/>
        <w:rPr>
          <w:color w:val="auto"/>
          <w:highlight w:val="none"/>
        </w:rPr>
      </w:pPr>
      <w:r>
        <w:rPr>
          <w:color w:val="auto"/>
          <w:highlight w:val="none"/>
        </w:rPr>
        <w:t>13.3 甲方在项目通过验收后按照</w:t>
      </w:r>
      <w:r>
        <w:rPr>
          <w:b/>
          <w:color w:val="auto"/>
          <w:highlight w:val="none"/>
        </w:rPr>
        <w:t>【政府采购合同专用条款】</w:t>
      </w:r>
      <w:r>
        <w:rPr>
          <w:color w:val="auto"/>
          <w:highlight w:val="none"/>
        </w:rPr>
        <w:t>规定的时间内将</w:t>
      </w:r>
      <w:r>
        <w:rPr>
          <w:color w:val="auto"/>
          <w:highlight w:val="none"/>
        </w:rPr>
        <w:t>履约保证金</w:t>
      </w:r>
      <w:r>
        <w:rPr>
          <w:color w:val="auto"/>
          <w:highlight w:val="none"/>
        </w:rPr>
        <w:t>退还乙方；逾期退还的，乙方可要求甲方支付违约金，违约金按照</w:t>
      </w:r>
      <w:r>
        <w:rPr>
          <w:b/>
          <w:color w:val="auto"/>
          <w:highlight w:val="none"/>
        </w:rPr>
        <w:t>【政府采购合同专用条款】</w:t>
      </w:r>
      <w:r>
        <w:rPr>
          <w:color w:val="auto"/>
          <w:highlight w:val="none"/>
        </w:rPr>
        <w:t>规定支付。</w:t>
      </w:r>
    </w:p>
    <w:p>
      <w:pPr>
        <w:pStyle w:val="19"/>
        <w:jc w:val="left"/>
        <w:outlineLvl w:val="2"/>
        <w:rPr>
          <w:color w:val="auto"/>
          <w:highlight w:val="none"/>
        </w:rPr>
      </w:pPr>
      <w:r>
        <w:rPr>
          <w:b/>
          <w:color w:val="auto"/>
          <w:sz w:val="28"/>
          <w:highlight w:val="none"/>
        </w:rPr>
        <w:t>14. 售后服务</w:t>
      </w:r>
    </w:p>
    <w:p>
      <w:pPr>
        <w:pStyle w:val="19"/>
        <w:jc w:val="left"/>
        <w:rPr>
          <w:color w:val="auto"/>
          <w:highlight w:val="none"/>
        </w:rPr>
      </w:pPr>
      <w:r>
        <w:rPr>
          <w:color w:val="auto"/>
          <w:highlight w:val="none"/>
        </w:rPr>
        <w:t>14.1 除项目不涉及或采购活动中明确约定无须承担外，乙方还应提供下列服务：</w:t>
      </w:r>
    </w:p>
    <w:p>
      <w:pPr>
        <w:pStyle w:val="19"/>
        <w:jc w:val="left"/>
        <w:rPr>
          <w:color w:val="auto"/>
          <w:highlight w:val="none"/>
        </w:rPr>
      </w:pPr>
      <w:r>
        <w:rPr>
          <w:color w:val="auto"/>
          <w:highlight w:val="none"/>
        </w:rPr>
        <w:t>（1）货物的现场移动、安装、调试、启动监督及技术支持；</w:t>
      </w:r>
    </w:p>
    <w:p>
      <w:pPr>
        <w:pStyle w:val="19"/>
        <w:jc w:val="left"/>
        <w:rPr>
          <w:color w:val="auto"/>
          <w:highlight w:val="none"/>
        </w:rPr>
      </w:pPr>
      <w:r>
        <w:rPr>
          <w:color w:val="auto"/>
          <w:highlight w:val="none"/>
        </w:rPr>
        <w:t>（2）提供货物组装和维修所需的专用工具和辅助材料；</w:t>
      </w:r>
    </w:p>
    <w:p>
      <w:pPr>
        <w:pStyle w:val="19"/>
        <w:jc w:val="left"/>
        <w:rPr>
          <w:color w:val="auto"/>
          <w:highlight w:val="none"/>
        </w:rPr>
      </w:pPr>
      <w:r>
        <w:rPr>
          <w:color w:val="auto"/>
          <w:highlight w:val="none"/>
        </w:rPr>
        <w:t>（3）在</w:t>
      </w:r>
      <w:r>
        <w:rPr>
          <w:b/>
          <w:color w:val="auto"/>
          <w:highlight w:val="none"/>
        </w:rPr>
        <w:t>【政府采购合同专用条款】</w:t>
      </w:r>
      <w:r>
        <w:rPr>
          <w:color w:val="auto"/>
          <w:highlight w:val="none"/>
        </w:rPr>
        <w:t>约定的期限内对所有的货物实施运行监督、维修，但前提条件是该服务并不能免除乙方在质量保证期内所承担的义务；</w:t>
      </w:r>
    </w:p>
    <w:p>
      <w:pPr>
        <w:pStyle w:val="19"/>
        <w:jc w:val="left"/>
        <w:rPr>
          <w:color w:val="auto"/>
          <w:highlight w:val="none"/>
        </w:rPr>
      </w:pPr>
      <w:r>
        <w:rPr>
          <w:color w:val="auto"/>
          <w:highlight w:val="none"/>
        </w:rPr>
        <w:t>（4）在制造商所在地或指定现场就货物的安装、启动、运营、维护、废弃处置等对甲方操作人员进行培训；</w:t>
      </w:r>
    </w:p>
    <w:p>
      <w:pPr>
        <w:pStyle w:val="19"/>
        <w:jc w:val="left"/>
        <w:rPr>
          <w:color w:val="auto"/>
          <w:highlight w:val="none"/>
        </w:rPr>
      </w:pPr>
      <w:r>
        <w:rPr>
          <w:color w:val="auto"/>
          <w:highlight w:val="none"/>
        </w:rPr>
        <w:t>（5）依照法律、行政法规的规定或者按照</w:t>
      </w:r>
      <w:r>
        <w:rPr>
          <w:b/>
          <w:color w:val="auto"/>
          <w:highlight w:val="none"/>
        </w:rPr>
        <w:t>【政府采购合同专用条款】</w:t>
      </w:r>
      <w:r>
        <w:rPr>
          <w:color w:val="auto"/>
          <w:highlight w:val="none"/>
        </w:rPr>
        <w:t>约定，货物在有效使用年限届满后应予回收的，乙方负有自行或者委托第三人对货物予以回收的义务；</w:t>
      </w:r>
    </w:p>
    <w:p>
      <w:pPr>
        <w:pStyle w:val="19"/>
        <w:jc w:val="left"/>
        <w:rPr>
          <w:color w:val="auto"/>
          <w:highlight w:val="none"/>
        </w:rPr>
      </w:pPr>
      <w:r>
        <w:rPr>
          <w:color w:val="auto"/>
          <w:highlight w:val="none"/>
        </w:rPr>
        <w:t>（6）</w:t>
      </w:r>
      <w:r>
        <w:rPr>
          <w:b/>
          <w:color w:val="auto"/>
          <w:highlight w:val="none"/>
        </w:rPr>
        <w:t>【政府采购合同专用条款】</w:t>
      </w:r>
      <w:r>
        <w:rPr>
          <w:color w:val="auto"/>
          <w:highlight w:val="none"/>
        </w:rPr>
        <w:t>规定由乙方提供的其他服务。</w:t>
      </w:r>
    </w:p>
    <w:p>
      <w:pPr>
        <w:pStyle w:val="19"/>
        <w:jc w:val="left"/>
        <w:rPr>
          <w:color w:val="auto"/>
          <w:highlight w:val="none"/>
        </w:rPr>
      </w:pPr>
      <w:r>
        <w:rPr>
          <w:color w:val="auto"/>
          <w:highlight w:val="none"/>
        </w:rPr>
        <w:t>14.2 乙方提供的售后服务的费用已包含在合同价款中，甲方不再另行支付。</w:t>
      </w:r>
    </w:p>
    <w:p>
      <w:pPr>
        <w:pStyle w:val="19"/>
        <w:jc w:val="left"/>
        <w:outlineLvl w:val="2"/>
        <w:rPr>
          <w:color w:val="auto"/>
          <w:highlight w:val="none"/>
        </w:rPr>
      </w:pPr>
      <w:r>
        <w:rPr>
          <w:b/>
          <w:color w:val="auto"/>
          <w:sz w:val="28"/>
          <w:highlight w:val="none"/>
        </w:rPr>
        <w:t>15. 违约责任</w:t>
      </w:r>
    </w:p>
    <w:p>
      <w:pPr>
        <w:pStyle w:val="19"/>
        <w:jc w:val="left"/>
        <w:rPr>
          <w:color w:val="auto"/>
          <w:highlight w:val="none"/>
        </w:rPr>
      </w:pPr>
      <w:r>
        <w:rPr>
          <w:color w:val="auto"/>
          <w:highlight w:val="none"/>
        </w:rPr>
        <w:t>15.1质量瑕疵的违约责任</w:t>
      </w:r>
    </w:p>
    <w:p>
      <w:pPr>
        <w:pStyle w:val="19"/>
        <w:jc w:val="left"/>
        <w:rPr>
          <w:color w:val="auto"/>
          <w:highlight w:val="none"/>
        </w:rPr>
      </w:pPr>
      <w:r>
        <w:rPr>
          <w:color w:val="auto"/>
          <w:highlight w:val="none"/>
        </w:rPr>
        <w:t>乙方提供的产品不符合合同约定的质量标准或存在产品质量缺陷，甲方有权要求乙方根据</w:t>
      </w:r>
      <w:r>
        <w:rPr>
          <w:b/>
          <w:color w:val="auto"/>
          <w:highlight w:val="none"/>
        </w:rPr>
        <w:t>【政府采购合同专用条款】</w:t>
      </w:r>
      <w:r>
        <w:rPr>
          <w:color w:val="auto"/>
          <w:highlight w:val="none"/>
        </w:rPr>
        <w:t>要求及时修理、重作、更换，并承担由此给甲方造成的损失。</w:t>
      </w:r>
    </w:p>
    <w:p>
      <w:pPr>
        <w:pStyle w:val="19"/>
        <w:jc w:val="left"/>
        <w:rPr>
          <w:color w:val="auto"/>
          <w:highlight w:val="none"/>
        </w:rPr>
      </w:pPr>
      <w:r>
        <w:rPr>
          <w:color w:val="auto"/>
          <w:highlight w:val="none"/>
        </w:rPr>
        <w:t>15.2 迟延交货的违约责任</w:t>
      </w:r>
    </w:p>
    <w:p>
      <w:pPr>
        <w:pStyle w:val="19"/>
        <w:jc w:val="left"/>
        <w:rPr>
          <w:color w:val="auto"/>
          <w:highlight w:val="none"/>
        </w:rPr>
      </w:pPr>
      <w:r>
        <w:rPr>
          <w:color w:val="auto"/>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pStyle w:val="19"/>
        <w:jc w:val="left"/>
        <w:rPr>
          <w:color w:val="auto"/>
          <w:highlight w:val="none"/>
        </w:rPr>
      </w:pPr>
      <w:r>
        <w:rPr>
          <w:color w:val="auto"/>
          <w:highlight w:val="none"/>
        </w:rPr>
        <w:t>（2）如果乙方没有按照合同规定的时间交货和提供相关服务，甲方有权从货款中扣除误期赔偿费而不影响合同项下的其他补救方法，赔偿费按</w:t>
      </w:r>
      <w:r>
        <w:rPr>
          <w:b/>
          <w:color w:val="auto"/>
          <w:highlight w:val="none"/>
        </w:rPr>
        <w:t>【政府采购合同专用条款】</w:t>
      </w:r>
      <w:r>
        <w:rPr>
          <w:color w:val="auto"/>
          <w:highlight w:val="none"/>
        </w:rPr>
        <w:t>规定执行。如果涉及公共利益，且赔偿金额无法弥补公共利益损失，甲方可要求继续履行或者采取其他补救措施。</w:t>
      </w:r>
    </w:p>
    <w:p>
      <w:pPr>
        <w:pStyle w:val="19"/>
        <w:jc w:val="left"/>
        <w:rPr>
          <w:color w:val="auto"/>
          <w:highlight w:val="none"/>
        </w:rPr>
      </w:pPr>
      <w:r>
        <w:rPr>
          <w:color w:val="auto"/>
          <w:highlight w:val="none"/>
        </w:rPr>
        <w:t>15.3 迟延支付的违约责任</w:t>
      </w:r>
    </w:p>
    <w:p>
      <w:pPr>
        <w:pStyle w:val="19"/>
        <w:jc w:val="left"/>
        <w:rPr>
          <w:color w:val="auto"/>
          <w:highlight w:val="none"/>
        </w:rPr>
      </w:pPr>
      <w:r>
        <w:rPr>
          <w:color w:val="auto"/>
          <w:highlight w:val="none"/>
        </w:rPr>
        <w:t>甲方存在迟延支付乙方合同款项的，应当承担</w:t>
      </w:r>
      <w:r>
        <w:rPr>
          <w:b/>
          <w:color w:val="auto"/>
          <w:highlight w:val="none"/>
        </w:rPr>
        <w:t>【政府采购合同专用条款】</w:t>
      </w:r>
      <w:r>
        <w:rPr>
          <w:color w:val="auto"/>
          <w:highlight w:val="none"/>
        </w:rPr>
        <w:t>规定的逾期付款利息。</w:t>
      </w:r>
    </w:p>
    <w:p>
      <w:pPr>
        <w:pStyle w:val="19"/>
        <w:jc w:val="left"/>
        <w:rPr>
          <w:color w:val="auto"/>
          <w:highlight w:val="none"/>
        </w:rPr>
      </w:pPr>
      <w:r>
        <w:rPr>
          <w:color w:val="auto"/>
          <w:highlight w:val="none"/>
        </w:rPr>
        <w:t>15.4其他违约责任根据项目实际需要按</w:t>
      </w:r>
      <w:r>
        <w:rPr>
          <w:b/>
          <w:color w:val="auto"/>
          <w:highlight w:val="none"/>
        </w:rPr>
        <w:t>【政府采购合同专用条款】</w:t>
      </w:r>
      <w:r>
        <w:rPr>
          <w:color w:val="auto"/>
          <w:highlight w:val="none"/>
        </w:rPr>
        <w:t>规定执行。</w:t>
      </w:r>
    </w:p>
    <w:p>
      <w:pPr>
        <w:pStyle w:val="19"/>
        <w:jc w:val="left"/>
        <w:outlineLvl w:val="2"/>
        <w:rPr>
          <w:color w:val="auto"/>
          <w:highlight w:val="none"/>
        </w:rPr>
      </w:pPr>
      <w:r>
        <w:rPr>
          <w:b/>
          <w:color w:val="auto"/>
          <w:sz w:val="28"/>
          <w:highlight w:val="none"/>
        </w:rPr>
        <w:t>16.合同变更、中止与终止</w:t>
      </w:r>
    </w:p>
    <w:p>
      <w:pPr>
        <w:pStyle w:val="19"/>
        <w:jc w:val="left"/>
        <w:rPr>
          <w:color w:val="auto"/>
          <w:highlight w:val="none"/>
        </w:rPr>
      </w:pPr>
      <w:r>
        <w:rPr>
          <w:color w:val="auto"/>
          <w:highlight w:val="none"/>
        </w:rPr>
        <w:t xml:space="preserve"> 16.1合同的变更</w:t>
      </w:r>
    </w:p>
    <w:p>
      <w:pPr>
        <w:pStyle w:val="19"/>
        <w:jc w:val="left"/>
        <w:rPr>
          <w:color w:val="auto"/>
          <w:highlight w:val="none"/>
        </w:rPr>
      </w:pPr>
      <w:r>
        <w:rPr>
          <w:color w:val="auto"/>
          <w:highlight w:val="none"/>
        </w:rPr>
        <w:t>政府采购合同履行中，在不改变合同其他条款的前提下，甲方可以在合同价款10%的范围内追加与合同标的相同的货物，并就此与乙方协商一致后签订补充协议。</w:t>
      </w:r>
    </w:p>
    <w:p>
      <w:pPr>
        <w:pStyle w:val="19"/>
        <w:jc w:val="left"/>
        <w:rPr>
          <w:color w:val="auto"/>
          <w:highlight w:val="none"/>
        </w:rPr>
      </w:pPr>
      <w:r>
        <w:rPr>
          <w:color w:val="auto"/>
          <w:highlight w:val="none"/>
        </w:rPr>
        <w:t>16.2合同的中止</w:t>
      </w:r>
    </w:p>
    <w:p>
      <w:pPr>
        <w:pStyle w:val="19"/>
        <w:jc w:val="left"/>
        <w:rPr>
          <w:color w:val="auto"/>
          <w:highlight w:val="none"/>
        </w:rPr>
      </w:pPr>
      <w:r>
        <w:rPr>
          <w:color w:val="auto"/>
          <w:highlight w:val="none"/>
        </w:rPr>
        <w:t>（1）合同履行过程中因供应商就采购文件、采购过程或结果提起投诉的，甲方认为有必要的，可以中止合同的履行。</w:t>
      </w:r>
    </w:p>
    <w:p>
      <w:pPr>
        <w:pStyle w:val="19"/>
        <w:jc w:val="left"/>
        <w:rPr>
          <w:color w:val="auto"/>
          <w:highlight w:val="none"/>
        </w:rPr>
      </w:pPr>
      <w:r>
        <w:rPr>
          <w:color w:val="auto"/>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pStyle w:val="19"/>
        <w:jc w:val="left"/>
        <w:rPr>
          <w:color w:val="auto"/>
          <w:highlight w:val="none"/>
        </w:rPr>
      </w:pPr>
      <w:r>
        <w:rPr>
          <w:color w:val="auto"/>
          <w:highlight w:val="none"/>
        </w:rPr>
        <w:t>（3）乙方分立、合并或者变更住所的，应当及时以书面形式告知甲方。乙方没有及时告知甲方，致使合同履行发生困难的，甲方可以中止合同履行并要求乙方承担由此给甲方造成的损失。</w:t>
      </w:r>
    </w:p>
    <w:p>
      <w:pPr>
        <w:pStyle w:val="19"/>
        <w:jc w:val="left"/>
        <w:rPr>
          <w:color w:val="auto"/>
          <w:highlight w:val="none"/>
        </w:rPr>
      </w:pPr>
      <w:r>
        <w:rPr>
          <w:color w:val="auto"/>
          <w:highlight w:val="none"/>
        </w:rPr>
        <w:t>（4）甲方不得以行政区划调整、政府换届、机构或者职能调整以及相关责任人更替为由中止合同。</w:t>
      </w:r>
    </w:p>
    <w:p>
      <w:pPr>
        <w:pStyle w:val="19"/>
        <w:jc w:val="left"/>
        <w:rPr>
          <w:color w:val="auto"/>
          <w:highlight w:val="none"/>
        </w:rPr>
      </w:pPr>
      <w:r>
        <w:rPr>
          <w:color w:val="auto"/>
          <w:highlight w:val="none"/>
        </w:rPr>
        <w:t>16.3合同的终止</w:t>
      </w:r>
    </w:p>
    <w:p>
      <w:pPr>
        <w:pStyle w:val="19"/>
        <w:jc w:val="left"/>
        <w:rPr>
          <w:color w:val="auto"/>
          <w:highlight w:val="none"/>
        </w:rPr>
      </w:pPr>
      <w:r>
        <w:rPr>
          <w:color w:val="auto"/>
          <w:highlight w:val="none"/>
        </w:rPr>
        <w:t>（1）合同因有效期限届满而终止；</w:t>
      </w:r>
    </w:p>
    <w:p>
      <w:pPr>
        <w:pStyle w:val="19"/>
        <w:jc w:val="left"/>
        <w:rPr>
          <w:color w:val="auto"/>
          <w:highlight w:val="none"/>
        </w:rPr>
      </w:pPr>
      <w:r>
        <w:rPr>
          <w:color w:val="auto"/>
          <w:highlight w:val="none"/>
        </w:rPr>
        <w:t>（2）乙方未按合同约定履行，构成根本性违约的，甲方有权终止合同，并追究乙方的违约责任。</w:t>
      </w:r>
    </w:p>
    <w:p>
      <w:pPr>
        <w:pStyle w:val="19"/>
        <w:jc w:val="left"/>
        <w:rPr>
          <w:color w:val="auto"/>
          <w:highlight w:val="none"/>
        </w:rPr>
      </w:pPr>
      <w:r>
        <w:rPr>
          <w:color w:val="auto"/>
          <w:highlight w:val="none"/>
        </w:rPr>
        <w:t>16.4 涉及国家利益、社会公共利益的情形</w:t>
      </w:r>
    </w:p>
    <w:p>
      <w:pPr>
        <w:pStyle w:val="19"/>
        <w:jc w:val="left"/>
        <w:rPr>
          <w:color w:val="auto"/>
          <w:highlight w:val="none"/>
        </w:rPr>
      </w:pPr>
      <w:r>
        <w:rPr>
          <w:color w:val="auto"/>
          <w:highlight w:val="none"/>
        </w:rPr>
        <w:t>政府采购合同继续履行将损害国家利益和社会公共利益的，双方当事人应当变更、中止或者终止合同。有过错的一方应当承担赔偿责任，双方都有过错的，各自承担相应的责任。</w:t>
      </w:r>
    </w:p>
    <w:p>
      <w:pPr>
        <w:pStyle w:val="19"/>
        <w:jc w:val="left"/>
        <w:outlineLvl w:val="2"/>
        <w:rPr>
          <w:color w:val="auto"/>
          <w:highlight w:val="none"/>
        </w:rPr>
      </w:pPr>
      <w:r>
        <w:rPr>
          <w:b/>
          <w:color w:val="auto"/>
          <w:sz w:val="28"/>
          <w:highlight w:val="none"/>
        </w:rPr>
        <w:t>17. 合同分包</w:t>
      </w:r>
    </w:p>
    <w:p>
      <w:pPr>
        <w:pStyle w:val="19"/>
        <w:jc w:val="left"/>
        <w:rPr>
          <w:color w:val="auto"/>
          <w:highlight w:val="none"/>
        </w:rPr>
      </w:pPr>
      <w:r>
        <w:rPr>
          <w:color w:val="auto"/>
          <w:highlight w:val="none"/>
        </w:rPr>
        <w:t>17.1 乙方不得将合同转包给其他供应商。涉及合同分包的，乙方应根据采购文件和投标（响应）文件规定进行合同分包。</w:t>
      </w:r>
    </w:p>
    <w:p>
      <w:pPr>
        <w:pStyle w:val="19"/>
        <w:jc w:val="left"/>
        <w:rPr>
          <w:color w:val="auto"/>
          <w:highlight w:val="none"/>
        </w:rPr>
      </w:pPr>
      <w:r>
        <w:rPr>
          <w:color w:val="auto"/>
          <w:highlight w:val="none"/>
        </w:rPr>
        <w:t>17.2 乙方执行政府采购政策向中小企业依法分包的，乙方应当按采购文件和投标（响应）文件签订分包意向协议，分包意向协议属于本合同组成部分。</w:t>
      </w:r>
    </w:p>
    <w:p>
      <w:pPr>
        <w:pStyle w:val="19"/>
        <w:jc w:val="left"/>
        <w:outlineLvl w:val="2"/>
        <w:rPr>
          <w:color w:val="auto"/>
          <w:highlight w:val="none"/>
        </w:rPr>
      </w:pPr>
      <w:r>
        <w:rPr>
          <w:b/>
          <w:color w:val="auto"/>
          <w:sz w:val="28"/>
          <w:highlight w:val="none"/>
        </w:rPr>
        <w:t>18. 不可抗力</w:t>
      </w:r>
    </w:p>
    <w:p>
      <w:pPr>
        <w:pStyle w:val="19"/>
        <w:jc w:val="left"/>
        <w:rPr>
          <w:color w:val="auto"/>
          <w:highlight w:val="none"/>
        </w:rPr>
      </w:pPr>
      <w:r>
        <w:rPr>
          <w:color w:val="auto"/>
          <w:highlight w:val="none"/>
        </w:rPr>
        <w:t>18.1 不可抗力是指合同双方不能预见、不能避免且不能克服的客观情况。</w:t>
      </w:r>
    </w:p>
    <w:p>
      <w:pPr>
        <w:pStyle w:val="19"/>
        <w:jc w:val="left"/>
        <w:rPr>
          <w:color w:val="auto"/>
          <w:highlight w:val="none"/>
        </w:rPr>
      </w:pPr>
      <w:r>
        <w:rPr>
          <w:color w:val="auto"/>
          <w:highlight w:val="none"/>
        </w:rPr>
        <w:t>18.2 任何一方对由于不可抗力造成的部分或全部不能履行合同不承担违约责任。但迟延履行后发生不可抗力的，不能免除责任。</w:t>
      </w:r>
    </w:p>
    <w:p>
      <w:pPr>
        <w:pStyle w:val="19"/>
        <w:jc w:val="left"/>
        <w:rPr>
          <w:color w:val="auto"/>
          <w:highlight w:val="none"/>
        </w:rPr>
      </w:pPr>
      <w:r>
        <w:rPr>
          <w:color w:val="auto"/>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pStyle w:val="19"/>
        <w:jc w:val="left"/>
        <w:outlineLvl w:val="2"/>
        <w:rPr>
          <w:color w:val="auto"/>
          <w:highlight w:val="none"/>
        </w:rPr>
      </w:pPr>
      <w:r>
        <w:rPr>
          <w:b/>
          <w:color w:val="auto"/>
          <w:sz w:val="28"/>
          <w:highlight w:val="none"/>
        </w:rPr>
        <w:t>19. 解决争议的方法</w:t>
      </w:r>
    </w:p>
    <w:p>
      <w:pPr>
        <w:pStyle w:val="19"/>
        <w:jc w:val="left"/>
        <w:rPr>
          <w:color w:val="auto"/>
          <w:highlight w:val="none"/>
        </w:rPr>
      </w:pPr>
      <w:r>
        <w:rPr>
          <w:color w:val="auto"/>
          <w:highlight w:val="none"/>
        </w:rPr>
        <w:t>19.1 因本合同及合同有关事项发生的争议，由甲乙双方友好协商解决。协商不成时，可以向有关组织申请调解。合同一方或双方不愿调解或调解不成的，可以通过仲裁或诉讼的方式解决争议。</w:t>
      </w:r>
    </w:p>
    <w:p>
      <w:pPr>
        <w:pStyle w:val="19"/>
        <w:jc w:val="left"/>
        <w:rPr>
          <w:color w:val="auto"/>
          <w:highlight w:val="none"/>
        </w:rPr>
      </w:pPr>
      <w:r>
        <w:rPr>
          <w:color w:val="auto"/>
          <w:highlight w:val="none"/>
        </w:rPr>
        <w:t>19.2 选择仲裁的，应在</w:t>
      </w:r>
      <w:r>
        <w:rPr>
          <w:b/>
          <w:color w:val="auto"/>
          <w:highlight w:val="none"/>
        </w:rPr>
        <w:t>【政府采购合同专用条款】</w:t>
      </w:r>
      <w:r>
        <w:rPr>
          <w:color w:val="auto"/>
          <w:highlight w:val="none"/>
        </w:rPr>
        <w:t>中明确仲裁机构及仲裁地；通过诉讼方式解决的，可以在</w:t>
      </w:r>
      <w:r>
        <w:rPr>
          <w:b/>
          <w:color w:val="auto"/>
          <w:highlight w:val="none"/>
        </w:rPr>
        <w:t>【政府采购合同专用条款】</w:t>
      </w:r>
      <w:r>
        <w:rPr>
          <w:color w:val="auto"/>
          <w:highlight w:val="none"/>
        </w:rPr>
        <w:t>中进一步约定选择与争议有实际联系的地点的人民法院管辖，但管辖法院的约定不得违反级别管辖和专属管辖的规定。</w:t>
      </w:r>
    </w:p>
    <w:p>
      <w:pPr>
        <w:pStyle w:val="19"/>
        <w:jc w:val="left"/>
        <w:rPr>
          <w:color w:val="auto"/>
          <w:highlight w:val="none"/>
        </w:rPr>
      </w:pPr>
      <w:r>
        <w:rPr>
          <w:color w:val="auto"/>
          <w:highlight w:val="none"/>
        </w:rPr>
        <w:t>19.3 如甲乙双方有争议的事项不影响合同其他部分的履行，在争议解决期间，合同其他部分应当继续履行。</w:t>
      </w:r>
    </w:p>
    <w:p>
      <w:pPr>
        <w:pStyle w:val="19"/>
        <w:jc w:val="left"/>
        <w:outlineLvl w:val="2"/>
        <w:rPr>
          <w:color w:val="auto"/>
          <w:highlight w:val="none"/>
        </w:rPr>
      </w:pPr>
      <w:r>
        <w:rPr>
          <w:b/>
          <w:color w:val="auto"/>
          <w:sz w:val="28"/>
          <w:highlight w:val="none"/>
        </w:rPr>
        <w:t>20. 政府采购政策</w:t>
      </w:r>
    </w:p>
    <w:p>
      <w:pPr>
        <w:pStyle w:val="19"/>
        <w:jc w:val="left"/>
        <w:rPr>
          <w:color w:val="auto"/>
          <w:highlight w:val="none"/>
        </w:rPr>
      </w:pPr>
      <w:r>
        <w:rPr>
          <w:color w:val="auto"/>
          <w:highlight w:val="none"/>
        </w:rPr>
        <w:t>20.1 本合同应当按照规定执行政府采购政策。</w:t>
      </w:r>
    </w:p>
    <w:p>
      <w:pPr>
        <w:pStyle w:val="19"/>
        <w:jc w:val="left"/>
        <w:rPr>
          <w:color w:val="auto"/>
          <w:highlight w:val="none"/>
        </w:rPr>
      </w:pPr>
      <w:r>
        <w:rPr>
          <w:color w:val="auto"/>
          <w:highlight w:val="none"/>
        </w:rPr>
        <w:t>20.2 本合同依法执行政府采购政策的方式和内容，属于合同履约验收的范围。甲乙双方未按规定要求执行政府采购政策造成损失的，有过错的一方应当承担赔偿责任，双方都有过错的，各自承担相应的责任。</w:t>
      </w:r>
    </w:p>
    <w:p>
      <w:pPr>
        <w:pStyle w:val="19"/>
        <w:jc w:val="left"/>
        <w:rPr>
          <w:color w:val="auto"/>
          <w:highlight w:val="none"/>
        </w:rPr>
      </w:pPr>
      <w:r>
        <w:rPr>
          <w:color w:val="auto"/>
          <w:highlight w:val="none"/>
        </w:rPr>
        <w:t>20.3 对于为落实中小企业支持政策，通过采购项目整体预留、设置</w:t>
      </w:r>
      <w:r>
        <w:rPr>
          <w:rFonts w:hint="eastAsia"/>
          <w:color w:val="auto"/>
          <w:highlight w:val="none"/>
          <w:lang w:eastAsia="zh-CN"/>
        </w:rPr>
        <w:t>合同包</w:t>
      </w:r>
      <w:r>
        <w:rPr>
          <w:color w:val="auto"/>
          <w:highlight w:val="none"/>
        </w:rPr>
        <w:t>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pStyle w:val="19"/>
        <w:jc w:val="left"/>
        <w:outlineLvl w:val="2"/>
        <w:rPr>
          <w:color w:val="auto"/>
          <w:highlight w:val="none"/>
        </w:rPr>
      </w:pPr>
      <w:r>
        <w:rPr>
          <w:b/>
          <w:color w:val="auto"/>
          <w:sz w:val="28"/>
          <w:highlight w:val="none"/>
        </w:rPr>
        <w:t>21. 法律适用</w:t>
      </w:r>
    </w:p>
    <w:p>
      <w:pPr>
        <w:pStyle w:val="19"/>
        <w:jc w:val="left"/>
        <w:rPr>
          <w:color w:val="auto"/>
          <w:highlight w:val="none"/>
        </w:rPr>
      </w:pPr>
      <w:r>
        <w:rPr>
          <w:color w:val="auto"/>
          <w:highlight w:val="none"/>
        </w:rPr>
        <w:t>21.1 本合同的订立、生效、解释、履行及与本合同有关的争议解决，均适用法律、行政法规。</w:t>
      </w:r>
    </w:p>
    <w:p>
      <w:pPr>
        <w:pStyle w:val="19"/>
        <w:jc w:val="left"/>
        <w:rPr>
          <w:color w:val="auto"/>
          <w:highlight w:val="none"/>
        </w:rPr>
      </w:pPr>
      <w:r>
        <w:rPr>
          <w:color w:val="auto"/>
          <w:highlight w:val="none"/>
        </w:rPr>
        <w:t>21.2 本合同条款与法律、行政法规的强制性规定不一致的，双方当事人应按照法律、行政法规的强制性规定修改本合同的相关条款。</w:t>
      </w:r>
    </w:p>
    <w:p>
      <w:pPr>
        <w:pStyle w:val="19"/>
        <w:jc w:val="left"/>
        <w:outlineLvl w:val="2"/>
        <w:rPr>
          <w:color w:val="auto"/>
          <w:highlight w:val="none"/>
        </w:rPr>
      </w:pPr>
      <w:r>
        <w:rPr>
          <w:b/>
          <w:color w:val="auto"/>
          <w:sz w:val="28"/>
          <w:highlight w:val="none"/>
        </w:rPr>
        <w:t>22. 通知</w:t>
      </w:r>
    </w:p>
    <w:p>
      <w:pPr>
        <w:pStyle w:val="19"/>
        <w:jc w:val="left"/>
        <w:rPr>
          <w:color w:val="auto"/>
          <w:highlight w:val="none"/>
        </w:rPr>
      </w:pPr>
      <w:r>
        <w:rPr>
          <w:color w:val="auto"/>
          <w:highlight w:val="none"/>
        </w:rPr>
        <w:t>22.1 本合同任何一方向对方发出的通知、信件、数据电文等，应当发送至本合同第一部分《政府采购合同协议书》所约定的通讯地址、联系人、联系电话或电子邮箱。</w:t>
      </w:r>
    </w:p>
    <w:p>
      <w:pPr>
        <w:pStyle w:val="19"/>
        <w:jc w:val="left"/>
        <w:rPr>
          <w:color w:val="auto"/>
          <w:highlight w:val="none"/>
        </w:rPr>
      </w:pPr>
      <w:r>
        <w:rPr>
          <w:color w:val="auto"/>
          <w:highlight w:val="none"/>
        </w:rPr>
        <w:t xml:space="preserve"> 22.2 一方当事人变更名称、住所、联系人、联系电话或电子邮箱等信息的，应当在变更后3日内及时书面通知对方，对方实际收到变更通知前的送达仍为有效送达。</w:t>
      </w:r>
    </w:p>
    <w:p>
      <w:pPr>
        <w:pStyle w:val="19"/>
        <w:jc w:val="left"/>
        <w:rPr>
          <w:color w:val="auto"/>
          <w:highlight w:val="none"/>
        </w:rPr>
      </w:pPr>
      <w:r>
        <w:rPr>
          <w:color w:val="auto"/>
          <w:highlight w:val="none"/>
        </w:rPr>
        <w:t>22.3本合同一方给另一方的通知均应采用书面形式，传真或快递送到本合同中规定的对方的地址和办理签收手续。</w:t>
      </w:r>
    </w:p>
    <w:p>
      <w:pPr>
        <w:pStyle w:val="19"/>
        <w:jc w:val="left"/>
        <w:rPr>
          <w:color w:val="auto"/>
          <w:highlight w:val="none"/>
        </w:rPr>
      </w:pPr>
      <w:r>
        <w:rPr>
          <w:color w:val="auto"/>
          <w:highlight w:val="none"/>
        </w:rPr>
        <w:t>22.4通知以送达之日或通知书中规定的生效之日起生效，两者中以较迟之日为准。</w:t>
      </w:r>
    </w:p>
    <w:p>
      <w:pPr>
        <w:pStyle w:val="19"/>
        <w:jc w:val="left"/>
        <w:outlineLvl w:val="2"/>
        <w:rPr>
          <w:color w:val="auto"/>
          <w:highlight w:val="none"/>
        </w:rPr>
      </w:pPr>
      <w:r>
        <w:rPr>
          <w:b/>
          <w:color w:val="auto"/>
          <w:sz w:val="28"/>
          <w:highlight w:val="none"/>
        </w:rPr>
        <w:t>23.合同未尽事项</w:t>
      </w:r>
    </w:p>
    <w:p>
      <w:pPr>
        <w:pStyle w:val="19"/>
        <w:jc w:val="left"/>
        <w:rPr>
          <w:color w:val="auto"/>
          <w:highlight w:val="none"/>
        </w:rPr>
      </w:pPr>
      <w:r>
        <w:rPr>
          <w:color w:val="auto"/>
          <w:highlight w:val="none"/>
        </w:rPr>
        <w:t>23.1合同未尽事项见</w:t>
      </w:r>
      <w:r>
        <w:rPr>
          <w:b/>
          <w:color w:val="auto"/>
          <w:highlight w:val="none"/>
        </w:rPr>
        <w:t>【政府采购合同专用条款】</w:t>
      </w:r>
      <w:r>
        <w:rPr>
          <w:color w:val="auto"/>
          <w:highlight w:val="none"/>
        </w:rPr>
        <w:t>。</w:t>
      </w:r>
    </w:p>
    <w:p>
      <w:pPr>
        <w:pStyle w:val="19"/>
        <w:jc w:val="left"/>
        <w:rPr>
          <w:color w:val="auto"/>
          <w:highlight w:val="none"/>
        </w:rPr>
      </w:pPr>
      <w:r>
        <w:rPr>
          <w:color w:val="auto"/>
          <w:highlight w:val="none"/>
        </w:rPr>
        <w:t xml:space="preserve"> 23.2 合同附件与合同正文具有同等的法律效力。</w:t>
      </w:r>
    </w:p>
    <w:p>
      <w:pPr>
        <w:pStyle w:val="19"/>
        <w:jc w:val="center"/>
        <w:outlineLvl w:val="2"/>
        <w:rPr>
          <w:color w:val="auto"/>
          <w:highlight w:val="none"/>
        </w:rPr>
      </w:pPr>
      <w:r>
        <w:rPr>
          <w:b/>
          <w:color w:val="auto"/>
          <w:sz w:val="28"/>
          <w:highlight w:val="none"/>
        </w:rPr>
        <w:t>第三节 政府采购合同专用条款</w:t>
      </w:r>
    </w:p>
    <w:tbl>
      <w:tblPr>
        <w:tblStyle w:val="14"/>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55"/>
        <w:gridCol w:w="3356"/>
        <w:gridCol w:w="335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6" w:type="pct"/>
          </w:tcPr>
          <w:p>
            <w:pPr>
              <w:pStyle w:val="19"/>
              <w:jc w:val="left"/>
              <w:rPr>
                <w:color w:val="auto"/>
                <w:highlight w:val="none"/>
              </w:rPr>
            </w:pPr>
            <w:r>
              <w:rPr>
                <w:color w:val="auto"/>
                <w:highlight w:val="none"/>
              </w:rPr>
              <w:t>第二节 第1.2（6）项</w:t>
            </w:r>
          </w:p>
        </w:tc>
        <w:tc>
          <w:tcPr>
            <w:tcW w:w="1666" w:type="pct"/>
          </w:tcPr>
          <w:p>
            <w:pPr>
              <w:pStyle w:val="19"/>
              <w:jc w:val="left"/>
              <w:rPr>
                <w:color w:val="auto"/>
                <w:highlight w:val="none"/>
              </w:rPr>
            </w:pPr>
            <w:r>
              <w:rPr>
                <w:color w:val="auto"/>
                <w:highlight w:val="none"/>
              </w:rPr>
              <w:t>联合体具体要求</w:t>
            </w:r>
          </w:p>
        </w:tc>
        <w:tc>
          <w:tcPr>
            <w:tcW w:w="1666" w:type="pct"/>
          </w:tcPr>
          <w:p>
            <w:pPr>
              <w:pStyle w:val="19"/>
              <w:jc w:val="left"/>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6" w:type="pct"/>
          </w:tcPr>
          <w:p>
            <w:pPr>
              <w:pStyle w:val="19"/>
              <w:jc w:val="left"/>
              <w:rPr>
                <w:color w:val="auto"/>
                <w:highlight w:val="none"/>
              </w:rPr>
            </w:pPr>
            <w:r>
              <w:rPr>
                <w:color w:val="auto"/>
                <w:highlight w:val="none"/>
              </w:rPr>
              <w:t>第二节 第1.2（7）项</w:t>
            </w:r>
          </w:p>
        </w:tc>
        <w:tc>
          <w:tcPr>
            <w:tcW w:w="1666" w:type="pct"/>
          </w:tcPr>
          <w:p>
            <w:pPr>
              <w:pStyle w:val="19"/>
              <w:jc w:val="left"/>
              <w:rPr>
                <w:color w:val="auto"/>
                <w:highlight w:val="none"/>
              </w:rPr>
            </w:pPr>
            <w:r>
              <w:rPr>
                <w:color w:val="auto"/>
                <w:highlight w:val="none"/>
              </w:rPr>
              <w:t>其他术语解释</w:t>
            </w:r>
          </w:p>
        </w:tc>
        <w:tc>
          <w:tcPr>
            <w:tcW w:w="1666" w:type="pct"/>
          </w:tcPr>
          <w:p>
            <w:pPr>
              <w:pStyle w:val="19"/>
              <w:jc w:val="left"/>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6" w:type="pct"/>
          </w:tcPr>
          <w:p>
            <w:pPr>
              <w:pStyle w:val="19"/>
              <w:jc w:val="left"/>
              <w:rPr>
                <w:color w:val="auto"/>
                <w:highlight w:val="none"/>
              </w:rPr>
            </w:pPr>
            <w:r>
              <w:rPr>
                <w:color w:val="auto"/>
                <w:highlight w:val="none"/>
              </w:rPr>
              <w:t>第二节 第4.4款</w:t>
            </w:r>
          </w:p>
        </w:tc>
        <w:tc>
          <w:tcPr>
            <w:tcW w:w="1666" w:type="pct"/>
          </w:tcPr>
          <w:p>
            <w:pPr>
              <w:pStyle w:val="19"/>
              <w:jc w:val="left"/>
              <w:rPr>
                <w:color w:val="auto"/>
                <w:highlight w:val="none"/>
              </w:rPr>
            </w:pPr>
            <w:r>
              <w:rPr>
                <w:color w:val="auto"/>
                <w:highlight w:val="none"/>
              </w:rPr>
              <w:t>履约验收中甲方提出异议或作出说明的期限</w:t>
            </w:r>
          </w:p>
        </w:tc>
        <w:tc>
          <w:tcPr>
            <w:tcW w:w="1666" w:type="pct"/>
          </w:tcPr>
          <w:p>
            <w:pPr>
              <w:pStyle w:val="19"/>
              <w:jc w:val="left"/>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6" w:type="pct"/>
          </w:tcPr>
          <w:p>
            <w:pPr>
              <w:pStyle w:val="19"/>
              <w:jc w:val="left"/>
              <w:rPr>
                <w:color w:val="auto"/>
                <w:highlight w:val="none"/>
              </w:rPr>
            </w:pPr>
            <w:r>
              <w:rPr>
                <w:color w:val="auto"/>
                <w:highlight w:val="none"/>
              </w:rPr>
              <w:t>第二节 第4.6款</w:t>
            </w:r>
          </w:p>
        </w:tc>
        <w:tc>
          <w:tcPr>
            <w:tcW w:w="1666" w:type="pct"/>
          </w:tcPr>
          <w:p>
            <w:pPr>
              <w:pStyle w:val="19"/>
              <w:jc w:val="left"/>
              <w:rPr>
                <w:color w:val="auto"/>
                <w:highlight w:val="none"/>
              </w:rPr>
            </w:pPr>
            <w:r>
              <w:rPr>
                <w:color w:val="auto"/>
                <w:highlight w:val="none"/>
              </w:rPr>
              <w:t>约定甲方承担的其他义务和责任</w:t>
            </w:r>
          </w:p>
        </w:tc>
        <w:tc>
          <w:tcPr>
            <w:tcW w:w="1666" w:type="pct"/>
          </w:tcPr>
          <w:p>
            <w:pPr>
              <w:pStyle w:val="19"/>
              <w:jc w:val="left"/>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6" w:type="pct"/>
          </w:tcPr>
          <w:p>
            <w:pPr>
              <w:pStyle w:val="19"/>
              <w:jc w:val="left"/>
              <w:rPr>
                <w:color w:val="auto"/>
                <w:highlight w:val="none"/>
              </w:rPr>
            </w:pPr>
            <w:r>
              <w:rPr>
                <w:color w:val="auto"/>
                <w:highlight w:val="none"/>
              </w:rPr>
              <w:t>第二节 第5.4款</w:t>
            </w:r>
          </w:p>
        </w:tc>
        <w:tc>
          <w:tcPr>
            <w:tcW w:w="1666" w:type="pct"/>
          </w:tcPr>
          <w:p>
            <w:pPr>
              <w:pStyle w:val="19"/>
              <w:jc w:val="left"/>
              <w:rPr>
                <w:color w:val="auto"/>
                <w:highlight w:val="none"/>
              </w:rPr>
            </w:pPr>
            <w:r>
              <w:rPr>
                <w:color w:val="auto"/>
                <w:highlight w:val="none"/>
              </w:rPr>
              <w:t>约定乙方承担的其他义务和责任</w:t>
            </w:r>
          </w:p>
        </w:tc>
        <w:tc>
          <w:tcPr>
            <w:tcW w:w="1666" w:type="pct"/>
          </w:tcPr>
          <w:p>
            <w:pPr>
              <w:pStyle w:val="19"/>
              <w:jc w:val="left"/>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6" w:type="pct"/>
          </w:tcPr>
          <w:p>
            <w:pPr>
              <w:pStyle w:val="19"/>
              <w:jc w:val="left"/>
              <w:rPr>
                <w:color w:val="auto"/>
                <w:highlight w:val="none"/>
              </w:rPr>
            </w:pPr>
            <w:r>
              <w:rPr>
                <w:color w:val="auto"/>
                <w:highlight w:val="none"/>
              </w:rPr>
              <w:t>第二节 第6.1款</w:t>
            </w:r>
          </w:p>
        </w:tc>
        <w:tc>
          <w:tcPr>
            <w:tcW w:w="1666" w:type="pct"/>
          </w:tcPr>
          <w:p>
            <w:pPr>
              <w:pStyle w:val="19"/>
              <w:jc w:val="left"/>
              <w:rPr>
                <w:color w:val="auto"/>
                <w:highlight w:val="none"/>
              </w:rPr>
            </w:pPr>
            <w:r>
              <w:rPr>
                <w:color w:val="auto"/>
                <w:highlight w:val="none"/>
              </w:rPr>
              <w:t>履行合同义务的顺序</w:t>
            </w:r>
          </w:p>
        </w:tc>
        <w:tc>
          <w:tcPr>
            <w:tcW w:w="1666" w:type="pct"/>
          </w:tcPr>
          <w:p>
            <w:pPr>
              <w:pStyle w:val="19"/>
              <w:jc w:val="left"/>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6" w:type="pct"/>
            <w:vMerge w:val="restart"/>
          </w:tcPr>
          <w:p>
            <w:pPr>
              <w:pStyle w:val="19"/>
              <w:jc w:val="left"/>
              <w:rPr>
                <w:color w:val="auto"/>
                <w:highlight w:val="none"/>
              </w:rPr>
            </w:pPr>
            <w:r>
              <w:rPr>
                <w:color w:val="auto"/>
                <w:highlight w:val="none"/>
              </w:rPr>
              <w:t>第二节 第7.1款</w:t>
            </w:r>
          </w:p>
        </w:tc>
        <w:tc>
          <w:tcPr>
            <w:tcW w:w="1666" w:type="pct"/>
          </w:tcPr>
          <w:p>
            <w:pPr>
              <w:pStyle w:val="19"/>
              <w:jc w:val="left"/>
              <w:rPr>
                <w:color w:val="auto"/>
                <w:highlight w:val="none"/>
              </w:rPr>
            </w:pPr>
            <w:r>
              <w:rPr>
                <w:color w:val="auto"/>
                <w:highlight w:val="none"/>
              </w:rPr>
              <w:t>包装特殊要求</w:t>
            </w:r>
          </w:p>
        </w:tc>
        <w:tc>
          <w:tcPr>
            <w:tcW w:w="1666" w:type="pct"/>
          </w:tcPr>
          <w:p>
            <w:pPr>
              <w:pStyle w:val="19"/>
              <w:jc w:val="left"/>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6" w:type="pct"/>
            <w:vMerge w:val="continue"/>
          </w:tcPr>
          <w:p>
            <w:pPr>
              <w:rPr>
                <w:color w:val="auto"/>
                <w:highlight w:val="none"/>
              </w:rPr>
            </w:pPr>
          </w:p>
        </w:tc>
        <w:tc>
          <w:tcPr>
            <w:tcW w:w="1666" w:type="pct"/>
          </w:tcPr>
          <w:p>
            <w:pPr>
              <w:pStyle w:val="19"/>
              <w:jc w:val="left"/>
              <w:rPr>
                <w:color w:val="auto"/>
                <w:highlight w:val="none"/>
              </w:rPr>
            </w:pPr>
            <w:r>
              <w:rPr>
                <w:color w:val="auto"/>
                <w:highlight w:val="none"/>
              </w:rPr>
              <w:t>指定现场</w:t>
            </w:r>
          </w:p>
        </w:tc>
        <w:tc>
          <w:tcPr>
            <w:tcW w:w="1666" w:type="pct"/>
          </w:tcPr>
          <w:p>
            <w:pPr>
              <w:pStyle w:val="19"/>
              <w:jc w:val="left"/>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6" w:type="pct"/>
          </w:tcPr>
          <w:p>
            <w:pPr>
              <w:pStyle w:val="19"/>
              <w:jc w:val="left"/>
              <w:rPr>
                <w:color w:val="auto"/>
                <w:highlight w:val="none"/>
              </w:rPr>
            </w:pPr>
            <w:r>
              <w:rPr>
                <w:color w:val="auto"/>
                <w:highlight w:val="none"/>
              </w:rPr>
              <w:t>第二节 第7.2款</w:t>
            </w:r>
          </w:p>
        </w:tc>
        <w:tc>
          <w:tcPr>
            <w:tcW w:w="1666" w:type="pct"/>
          </w:tcPr>
          <w:p>
            <w:pPr>
              <w:pStyle w:val="19"/>
              <w:jc w:val="left"/>
              <w:rPr>
                <w:color w:val="auto"/>
                <w:highlight w:val="none"/>
              </w:rPr>
            </w:pPr>
            <w:r>
              <w:rPr>
                <w:color w:val="auto"/>
                <w:highlight w:val="none"/>
              </w:rPr>
              <w:t>运输特殊要求</w:t>
            </w:r>
          </w:p>
        </w:tc>
        <w:tc>
          <w:tcPr>
            <w:tcW w:w="1666" w:type="pct"/>
          </w:tcPr>
          <w:p>
            <w:pPr>
              <w:pStyle w:val="19"/>
              <w:jc w:val="left"/>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6" w:type="pct"/>
          </w:tcPr>
          <w:p>
            <w:pPr>
              <w:pStyle w:val="19"/>
              <w:jc w:val="left"/>
              <w:rPr>
                <w:color w:val="auto"/>
                <w:highlight w:val="none"/>
              </w:rPr>
            </w:pPr>
            <w:r>
              <w:rPr>
                <w:color w:val="auto"/>
                <w:highlight w:val="none"/>
              </w:rPr>
              <w:t>第二节 第7.3款</w:t>
            </w:r>
          </w:p>
        </w:tc>
        <w:tc>
          <w:tcPr>
            <w:tcW w:w="1666" w:type="pct"/>
          </w:tcPr>
          <w:p>
            <w:pPr>
              <w:pStyle w:val="19"/>
              <w:jc w:val="left"/>
              <w:rPr>
                <w:color w:val="auto"/>
                <w:highlight w:val="none"/>
              </w:rPr>
            </w:pPr>
            <w:r>
              <w:rPr>
                <w:color w:val="auto"/>
                <w:highlight w:val="none"/>
              </w:rPr>
              <w:t>保险要求</w:t>
            </w:r>
          </w:p>
        </w:tc>
        <w:tc>
          <w:tcPr>
            <w:tcW w:w="1666" w:type="pct"/>
          </w:tcPr>
          <w:p>
            <w:pPr>
              <w:pStyle w:val="19"/>
              <w:jc w:val="left"/>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6" w:type="pct"/>
          </w:tcPr>
          <w:p>
            <w:pPr>
              <w:pStyle w:val="19"/>
              <w:jc w:val="left"/>
              <w:rPr>
                <w:color w:val="auto"/>
                <w:highlight w:val="none"/>
              </w:rPr>
            </w:pPr>
            <w:r>
              <w:rPr>
                <w:color w:val="auto"/>
                <w:highlight w:val="none"/>
              </w:rPr>
              <w:t>第二节 第8.2（1）项</w:t>
            </w:r>
          </w:p>
        </w:tc>
        <w:tc>
          <w:tcPr>
            <w:tcW w:w="1666" w:type="pct"/>
          </w:tcPr>
          <w:p>
            <w:pPr>
              <w:pStyle w:val="19"/>
              <w:jc w:val="left"/>
              <w:rPr>
                <w:color w:val="auto"/>
                <w:highlight w:val="none"/>
              </w:rPr>
            </w:pPr>
            <w:r>
              <w:rPr>
                <w:color w:val="auto"/>
                <w:highlight w:val="none"/>
              </w:rPr>
              <w:t>质量保证期</w:t>
            </w:r>
          </w:p>
        </w:tc>
        <w:tc>
          <w:tcPr>
            <w:tcW w:w="1666" w:type="pct"/>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6" w:type="pct"/>
          </w:tcPr>
          <w:p>
            <w:pPr>
              <w:pStyle w:val="19"/>
              <w:jc w:val="left"/>
              <w:rPr>
                <w:color w:val="auto"/>
                <w:highlight w:val="none"/>
              </w:rPr>
            </w:pPr>
            <w:r>
              <w:rPr>
                <w:color w:val="auto"/>
                <w:highlight w:val="none"/>
              </w:rPr>
              <w:t>第二节 第8.2（3）项</w:t>
            </w:r>
          </w:p>
        </w:tc>
        <w:tc>
          <w:tcPr>
            <w:tcW w:w="1666" w:type="pct"/>
          </w:tcPr>
          <w:p>
            <w:pPr>
              <w:pStyle w:val="19"/>
              <w:jc w:val="left"/>
              <w:rPr>
                <w:color w:val="auto"/>
                <w:highlight w:val="none"/>
              </w:rPr>
            </w:pPr>
            <w:r>
              <w:rPr>
                <w:color w:val="auto"/>
                <w:highlight w:val="none"/>
              </w:rPr>
              <w:t>货物质量缺陷响应时间</w:t>
            </w:r>
          </w:p>
        </w:tc>
        <w:tc>
          <w:tcPr>
            <w:tcW w:w="1666" w:type="pct"/>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6" w:type="pct"/>
          </w:tcPr>
          <w:p>
            <w:pPr>
              <w:pStyle w:val="19"/>
              <w:jc w:val="left"/>
              <w:rPr>
                <w:color w:val="auto"/>
                <w:highlight w:val="none"/>
              </w:rPr>
            </w:pPr>
            <w:r>
              <w:rPr>
                <w:color w:val="auto"/>
                <w:highlight w:val="none"/>
              </w:rPr>
              <w:t>第二节 第11.1款</w:t>
            </w:r>
          </w:p>
        </w:tc>
        <w:tc>
          <w:tcPr>
            <w:tcW w:w="1666" w:type="pct"/>
          </w:tcPr>
          <w:p>
            <w:pPr>
              <w:pStyle w:val="19"/>
              <w:jc w:val="left"/>
              <w:rPr>
                <w:color w:val="auto"/>
                <w:highlight w:val="none"/>
              </w:rPr>
            </w:pPr>
            <w:r>
              <w:rPr>
                <w:color w:val="auto"/>
                <w:highlight w:val="none"/>
              </w:rPr>
              <w:t>其他应当保密的信息</w:t>
            </w:r>
          </w:p>
        </w:tc>
        <w:tc>
          <w:tcPr>
            <w:tcW w:w="1666" w:type="pct"/>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6" w:type="pct"/>
          </w:tcPr>
          <w:p>
            <w:pPr>
              <w:pStyle w:val="19"/>
              <w:jc w:val="left"/>
              <w:rPr>
                <w:color w:val="auto"/>
                <w:highlight w:val="none"/>
              </w:rPr>
            </w:pPr>
            <w:r>
              <w:rPr>
                <w:color w:val="auto"/>
                <w:highlight w:val="none"/>
              </w:rPr>
              <w:t>第二节 第12.2款</w:t>
            </w:r>
          </w:p>
        </w:tc>
        <w:tc>
          <w:tcPr>
            <w:tcW w:w="1666" w:type="pct"/>
          </w:tcPr>
          <w:p>
            <w:pPr>
              <w:pStyle w:val="19"/>
              <w:jc w:val="left"/>
              <w:rPr>
                <w:color w:val="auto"/>
                <w:highlight w:val="none"/>
              </w:rPr>
            </w:pPr>
            <w:r>
              <w:rPr>
                <w:color w:val="auto"/>
                <w:highlight w:val="none"/>
              </w:rPr>
              <w:t>合同价款支付时间</w:t>
            </w:r>
          </w:p>
        </w:tc>
        <w:tc>
          <w:tcPr>
            <w:tcW w:w="1666" w:type="pct"/>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6" w:type="pct"/>
          </w:tcPr>
          <w:p>
            <w:pPr>
              <w:pStyle w:val="19"/>
              <w:jc w:val="left"/>
              <w:rPr>
                <w:color w:val="auto"/>
                <w:highlight w:val="none"/>
              </w:rPr>
            </w:pPr>
            <w:r>
              <w:rPr>
                <w:color w:val="auto"/>
                <w:highlight w:val="none"/>
              </w:rPr>
              <w:t>第二节 第13.2款</w:t>
            </w:r>
          </w:p>
        </w:tc>
        <w:tc>
          <w:tcPr>
            <w:tcW w:w="1666" w:type="pct"/>
          </w:tcPr>
          <w:p>
            <w:pPr>
              <w:pStyle w:val="19"/>
              <w:jc w:val="left"/>
              <w:rPr>
                <w:color w:val="auto"/>
                <w:highlight w:val="none"/>
              </w:rPr>
            </w:pPr>
            <w:r>
              <w:rPr>
                <w:color w:val="auto"/>
                <w:highlight w:val="none"/>
              </w:rPr>
              <w:t>履约保证金</w:t>
            </w:r>
            <w:r>
              <w:rPr>
                <w:color w:val="auto"/>
                <w:highlight w:val="none"/>
              </w:rPr>
              <w:t>不予退还的情形</w:t>
            </w:r>
          </w:p>
        </w:tc>
        <w:tc>
          <w:tcPr>
            <w:tcW w:w="1666" w:type="pct"/>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6" w:type="pct"/>
          </w:tcPr>
          <w:p>
            <w:pPr>
              <w:pStyle w:val="19"/>
              <w:jc w:val="left"/>
              <w:rPr>
                <w:color w:val="auto"/>
                <w:highlight w:val="none"/>
              </w:rPr>
            </w:pPr>
            <w:r>
              <w:rPr>
                <w:color w:val="auto"/>
                <w:highlight w:val="none"/>
              </w:rPr>
              <w:t>第二节 第13.3款</w:t>
            </w:r>
          </w:p>
        </w:tc>
        <w:tc>
          <w:tcPr>
            <w:tcW w:w="1666" w:type="pct"/>
          </w:tcPr>
          <w:p>
            <w:pPr>
              <w:pStyle w:val="19"/>
              <w:jc w:val="left"/>
              <w:rPr>
                <w:color w:val="auto"/>
                <w:highlight w:val="none"/>
              </w:rPr>
            </w:pPr>
            <w:r>
              <w:rPr>
                <w:color w:val="auto"/>
                <w:highlight w:val="none"/>
              </w:rPr>
              <w:t>履约保证金</w:t>
            </w:r>
            <w:r>
              <w:rPr>
                <w:color w:val="auto"/>
                <w:highlight w:val="none"/>
              </w:rPr>
              <w:t>退还时间及逾期退还的违约金</w:t>
            </w:r>
          </w:p>
        </w:tc>
        <w:tc>
          <w:tcPr>
            <w:tcW w:w="1666" w:type="pct"/>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6" w:type="pct"/>
          </w:tcPr>
          <w:p>
            <w:pPr>
              <w:pStyle w:val="19"/>
              <w:jc w:val="left"/>
              <w:rPr>
                <w:color w:val="auto"/>
                <w:highlight w:val="none"/>
              </w:rPr>
            </w:pPr>
            <w:r>
              <w:rPr>
                <w:color w:val="auto"/>
                <w:highlight w:val="none"/>
              </w:rPr>
              <w:t>第二节 第14.1（3）项</w:t>
            </w:r>
          </w:p>
        </w:tc>
        <w:tc>
          <w:tcPr>
            <w:tcW w:w="1666" w:type="pct"/>
          </w:tcPr>
          <w:p>
            <w:pPr>
              <w:pStyle w:val="19"/>
              <w:jc w:val="left"/>
              <w:rPr>
                <w:color w:val="auto"/>
                <w:highlight w:val="none"/>
              </w:rPr>
            </w:pPr>
            <w:r>
              <w:rPr>
                <w:color w:val="auto"/>
                <w:highlight w:val="none"/>
              </w:rPr>
              <w:t>运行监督</w:t>
            </w:r>
            <w:r>
              <w:rPr>
                <w:color w:val="auto"/>
                <w:highlight w:val="none"/>
              </w:rPr>
              <w:t>、维修期限</w:t>
            </w:r>
          </w:p>
        </w:tc>
        <w:tc>
          <w:tcPr>
            <w:tcW w:w="1666" w:type="pct"/>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6" w:type="pct"/>
          </w:tcPr>
          <w:p>
            <w:pPr>
              <w:pStyle w:val="19"/>
              <w:jc w:val="left"/>
              <w:rPr>
                <w:color w:val="auto"/>
                <w:highlight w:val="none"/>
              </w:rPr>
            </w:pPr>
            <w:r>
              <w:rPr>
                <w:color w:val="auto"/>
                <w:highlight w:val="none"/>
              </w:rPr>
              <w:t>第二节 第14.1（5）项</w:t>
            </w:r>
          </w:p>
        </w:tc>
        <w:tc>
          <w:tcPr>
            <w:tcW w:w="1666" w:type="pct"/>
          </w:tcPr>
          <w:p>
            <w:pPr>
              <w:pStyle w:val="19"/>
              <w:jc w:val="left"/>
              <w:rPr>
                <w:color w:val="auto"/>
                <w:highlight w:val="none"/>
              </w:rPr>
            </w:pPr>
            <w:r>
              <w:rPr>
                <w:color w:val="auto"/>
                <w:highlight w:val="none"/>
              </w:rPr>
              <w:t>货物回收的约定</w:t>
            </w:r>
          </w:p>
        </w:tc>
        <w:tc>
          <w:tcPr>
            <w:tcW w:w="1666" w:type="pct"/>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6" w:type="pct"/>
          </w:tcPr>
          <w:p>
            <w:pPr>
              <w:pStyle w:val="19"/>
              <w:jc w:val="left"/>
              <w:rPr>
                <w:color w:val="auto"/>
                <w:highlight w:val="none"/>
              </w:rPr>
            </w:pPr>
            <w:r>
              <w:rPr>
                <w:color w:val="auto"/>
                <w:highlight w:val="none"/>
              </w:rPr>
              <w:t>第二节 第14.1（6）项</w:t>
            </w:r>
          </w:p>
        </w:tc>
        <w:tc>
          <w:tcPr>
            <w:tcW w:w="1666" w:type="pct"/>
          </w:tcPr>
          <w:p>
            <w:pPr>
              <w:pStyle w:val="19"/>
              <w:jc w:val="left"/>
              <w:rPr>
                <w:color w:val="auto"/>
                <w:highlight w:val="none"/>
              </w:rPr>
            </w:pPr>
            <w:r>
              <w:rPr>
                <w:color w:val="auto"/>
                <w:highlight w:val="none"/>
              </w:rPr>
              <w:t>乙方提供的其他服务</w:t>
            </w:r>
          </w:p>
        </w:tc>
        <w:tc>
          <w:tcPr>
            <w:tcW w:w="1666" w:type="pct"/>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6" w:type="pct"/>
          </w:tcPr>
          <w:p>
            <w:pPr>
              <w:pStyle w:val="19"/>
              <w:jc w:val="left"/>
              <w:rPr>
                <w:color w:val="auto"/>
                <w:highlight w:val="none"/>
              </w:rPr>
            </w:pPr>
            <w:r>
              <w:rPr>
                <w:color w:val="auto"/>
                <w:highlight w:val="none"/>
              </w:rPr>
              <w:t>第二节 第15.1款</w:t>
            </w:r>
          </w:p>
        </w:tc>
        <w:tc>
          <w:tcPr>
            <w:tcW w:w="1666" w:type="pct"/>
          </w:tcPr>
          <w:p>
            <w:pPr>
              <w:pStyle w:val="19"/>
              <w:jc w:val="left"/>
              <w:rPr>
                <w:color w:val="auto"/>
                <w:highlight w:val="none"/>
              </w:rPr>
            </w:pPr>
            <w:r>
              <w:rPr>
                <w:color w:val="auto"/>
                <w:highlight w:val="none"/>
              </w:rPr>
              <w:t>修理、重作、更换相关具体规定</w:t>
            </w:r>
          </w:p>
        </w:tc>
        <w:tc>
          <w:tcPr>
            <w:tcW w:w="1666" w:type="pct"/>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6" w:type="pct"/>
          </w:tcPr>
          <w:p>
            <w:pPr>
              <w:pStyle w:val="19"/>
              <w:jc w:val="left"/>
              <w:rPr>
                <w:color w:val="auto"/>
                <w:highlight w:val="none"/>
              </w:rPr>
            </w:pPr>
            <w:r>
              <w:rPr>
                <w:color w:val="auto"/>
                <w:highlight w:val="none"/>
              </w:rPr>
              <w:t>第二节 第15.2（2）项</w:t>
            </w:r>
          </w:p>
        </w:tc>
        <w:tc>
          <w:tcPr>
            <w:tcW w:w="1666" w:type="pct"/>
          </w:tcPr>
          <w:p>
            <w:pPr>
              <w:pStyle w:val="19"/>
              <w:jc w:val="left"/>
              <w:rPr>
                <w:color w:val="auto"/>
                <w:highlight w:val="none"/>
              </w:rPr>
            </w:pPr>
            <w:r>
              <w:rPr>
                <w:color w:val="auto"/>
                <w:highlight w:val="none"/>
              </w:rPr>
              <w:t>迟延交货赔偿费</w:t>
            </w:r>
          </w:p>
        </w:tc>
        <w:tc>
          <w:tcPr>
            <w:tcW w:w="1666" w:type="pct"/>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6" w:type="pct"/>
          </w:tcPr>
          <w:p>
            <w:pPr>
              <w:pStyle w:val="19"/>
              <w:jc w:val="left"/>
              <w:rPr>
                <w:color w:val="auto"/>
                <w:highlight w:val="none"/>
              </w:rPr>
            </w:pPr>
            <w:r>
              <w:rPr>
                <w:color w:val="auto"/>
                <w:highlight w:val="none"/>
              </w:rPr>
              <w:t>第二节 第15.3款</w:t>
            </w:r>
          </w:p>
        </w:tc>
        <w:tc>
          <w:tcPr>
            <w:tcW w:w="1666" w:type="pct"/>
          </w:tcPr>
          <w:p>
            <w:pPr>
              <w:pStyle w:val="19"/>
              <w:jc w:val="left"/>
              <w:rPr>
                <w:color w:val="auto"/>
                <w:highlight w:val="none"/>
              </w:rPr>
            </w:pPr>
            <w:r>
              <w:rPr>
                <w:color w:val="auto"/>
                <w:highlight w:val="none"/>
              </w:rPr>
              <w:t>逾期付款利息</w:t>
            </w:r>
          </w:p>
        </w:tc>
        <w:tc>
          <w:tcPr>
            <w:tcW w:w="1666" w:type="pct"/>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6" w:type="pct"/>
          </w:tcPr>
          <w:p>
            <w:pPr>
              <w:pStyle w:val="19"/>
              <w:jc w:val="left"/>
              <w:rPr>
                <w:color w:val="auto"/>
                <w:highlight w:val="none"/>
              </w:rPr>
            </w:pPr>
            <w:r>
              <w:rPr>
                <w:color w:val="auto"/>
                <w:highlight w:val="none"/>
              </w:rPr>
              <w:t>第二节 第15.4款</w:t>
            </w:r>
          </w:p>
        </w:tc>
        <w:tc>
          <w:tcPr>
            <w:tcW w:w="1666" w:type="pct"/>
          </w:tcPr>
          <w:p>
            <w:pPr>
              <w:pStyle w:val="19"/>
              <w:jc w:val="left"/>
              <w:rPr>
                <w:color w:val="auto"/>
                <w:highlight w:val="none"/>
              </w:rPr>
            </w:pPr>
            <w:r>
              <w:rPr>
                <w:color w:val="auto"/>
                <w:highlight w:val="none"/>
              </w:rPr>
              <w:t>其他违约责任</w:t>
            </w:r>
          </w:p>
        </w:tc>
        <w:tc>
          <w:tcPr>
            <w:tcW w:w="1666" w:type="pct"/>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6" w:type="pct"/>
          </w:tcPr>
          <w:p>
            <w:pPr>
              <w:pStyle w:val="19"/>
              <w:jc w:val="left"/>
              <w:rPr>
                <w:color w:val="auto"/>
                <w:highlight w:val="none"/>
              </w:rPr>
            </w:pPr>
            <w:r>
              <w:rPr>
                <w:color w:val="auto"/>
                <w:highlight w:val="none"/>
              </w:rPr>
              <w:t>第二节 第19.2款</w:t>
            </w:r>
          </w:p>
        </w:tc>
        <w:tc>
          <w:tcPr>
            <w:tcW w:w="1666" w:type="pct"/>
          </w:tcPr>
          <w:p>
            <w:pPr>
              <w:pStyle w:val="19"/>
              <w:jc w:val="left"/>
              <w:rPr>
                <w:color w:val="auto"/>
                <w:highlight w:val="none"/>
              </w:rPr>
            </w:pPr>
            <w:r>
              <w:rPr>
                <w:color w:val="auto"/>
                <w:highlight w:val="none"/>
              </w:rPr>
              <w:t>解决争议的方法</w:t>
            </w:r>
          </w:p>
        </w:tc>
        <w:tc>
          <w:tcPr>
            <w:tcW w:w="1666" w:type="pct"/>
          </w:tcPr>
          <w:p>
            <w:pPr>
              <w:pStyle w:val="19"/>
              <w:jc w:val="left"/>
              <w:rPr>
                <w:color w:val="auto"/>
                <w:highlight w:val="none"/>
              </w:rPr>
            </w:pPr>
            <w:r>
              <w:rPr>
                <w:color w:val="auto"/>
                <w:highlight w:val="none"/>
              </w:rPr>
              <w:t xml:space="preserve"> 因本合同及合同有关事项发生的争议，按下列第____ 种方式解决：</w:t>
            </w:r>
          </w:p>
          <w:p>
            <w:pPr>
              <w:pStyle w:val="19"/>
              <w:jc w:val="left"/>
              <w:rPr>
                <w:color w:val="auto"/>
                <w:highlight w:val="none"/>
              </w:rPr>
            </w:pPr>
            <w:r>
              <w:rPr>
                <w:color w:val="auto"/>
                <w:highlight w:val="none"/>
              </w:rPr>
              <w:t xml:space="preserve"> （1）向 __________________仲裁委员会申请仲裁，仲裁地点为 ____________ ；</w:t>
            </w:r>
          </w:p>
          <w:p>
            <w:pPr>
              <w:pStyle w:val="19"/>
              <w:jc w:val="left"/>
              <w:rPr>
                <w:color w:val="auto"/>
                <w:highlight w:val="none"/>
              </w:rPr>
            </w:pPr>
            <w:r>
              <w:rPr>
                <w:color w:val="auto"/>
                <w:highlight w:val="none"/>
              </w:rPr>
              <w:t xml:space="preserve"> （2）向__________________人民法院起诉。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6" w:type="pct"/>
          </w:tcPr>
          <w:p>
            <w:pPr>
              <w:pStyle w:val="19"/>
              <w:jc w:val="left"/>
              <w:rPr>
                <w:color w:val="auto"/>
                <w:highlight w:val="none"/>
              </w:rPr>
            </w:pPr>
            <w:r>
              <w:rPr>
                <w:color w:val="auto"/>
                <w:highlight w:val="none"/>
              </w:rPr>
              <w:t>第二节 第23.1款</w:t>
            </w:r>
          </w:p>
        </w:tc>
        <w:tc>
          <w:tcPr>
            <w:tcW w:w="1666" w:type="pct"/>
          </w:tcPr>
          <w:p>
            <w:pPr>
              <w:pStyle w:val="19"/>
              <w:jc w:val="left"/>
              <w:rPr>
                <w:color w:val="auto"/>
                <w:highlight w:val="none"/>
              </w:rPr>
            </w:pPr>
            <w:r>
              <w:rPr>
                <w:color w:val="auto"/>
                <w:highlight w:val="none"/>
              </w:rPr>
              <w:t>其他专用条款</w:t>
            </w:r>
          </w:p>
        </w:tc>
        <w:tc>
          <w:tcPr>
            <w:tcW w:w="1666" w:type="pct"/>
          </w:tcPr>
          <w:p>
            <w:pPr>
              <w:rPr>
                <w:color w:val="auto"/>
                <w:highlight w:val="none"/>
              </w:rPr>
            </w:pPr>
          </w:p>
        </w:tc>
      </w:tr>
    </w:tbl>
    <w:p>
      <w:pPr>
        <w:pStyle w:val="19"/>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19"/>
        <w:jc w:val="center"/>
        <w:outlineLvl w:val="1"/>
        <w:rPr>
          <w:rFonts w:hint="eastAsia" w:eastAsiaTheme="minorEastAsia"/>
          <w:color w:val="auto"/>
          <w:highlight w:val="none"/>
          <w:lang w:eastAsia="zh-CN"/>
        </w:rPr>
      </w:pPr>
      <w:r>
        <w:rPr>
          <w:b/>
          <w:color w:val="auto"/>
          <w:sz w:val="36"/>
          <w:highlight w:val="none"/>
        </w:rPr>
        <w:t>第七章</w:t>
      </w:r>
      <w:r>
        <w:rPr>
          <w:rFonts w:hint="eastAsia"/>
          <w:b/>
          <w:color w:val="auto"/>
          <w:sz w:val="36"/>
          <w:highlight w:val="none"/>
          <w:lang w:val="en-US" w:eastAsia="zh-CN"/>
        </w:rPr>
        <w:t xml:space="preserve">  </w:t>
      </w:r>
      <w:r>
        <w:rPr>
          <w:rFonts w:hint="eastAsia"/>
          <w:b/>
          <w:color w:val="auto"/>
          <w:sz w:val="36"/>
          <w:highlight w:val="none"/>
          <w:lang w:eastAsia="zh-CN"/>
        </w:rPr>
        <w:t>投标文件格式</w:t>
      </w:r>
    </w:p>
    <w:p>
      <w:pPr>
        <w:pStyle w:val="19"/>
        <w:jc w:val="center"/>
        <w:outlineLvl w:val="2"/>
        <w:rPr>
          <w:color w:val="auto"/>
          <w:highlight w:val="none"/>
        </w:rPr>
      </w:pPr>
      <w:r>
        <w:rPr>
          <w:b/>
          <w:color w:val="auto"/>
          <w:sz w:val="28"/>
          <w:highlight w:val="none"/>
        </w:rPr>
        <w:t>编制说明</w:t>
      </w:r>
    </w:p>
    <w:p>
      <w:pPr>
        <w:pStyle w:val="19"/>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1、除招标文件另有规定外，本章中：</w:t>
      </w:r>
    </w:p>
    <w:p>
      <w:pPr>
        <w:pStyle w:val="19"/>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1.1涉及投标人的“全称”：</w:t>
      </w:r>
    </w:p>
    <w:p>
      <w:pPr>
        <w:pStyle w:val="19"/>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（1）不接受联合体投标的，指投标人的全称。</w:t>
      </w:r>
    </w:p>
    <w:p>
      <w:pPr>
        <w:pStyle w:val="19"/>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（2）接受联合体投标且投标人为联合体的，指牵头方的全称并加注（联合体牵头方），即应表述为：“牵头方的全称（联合体牵头方）”。</w:t>
      </w:r>
    </w:p>
    <w:p>
      <w:pPr>
        <w:pStyle w:val="19"/>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1.2涉及投标人“加盖单位公章”：</w:t>
      </w:r>
    </w:p>
    <w:p>
      <w:pPr>
        <w:pStyle w:val="19"/>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（1）不接受联合体投标的，指加盖投标人的单位公章。</w:t>
      </w:r>
    </w:p>
    <w:p>
      <w:pPr>
        <w:pStyle w:val="19"/>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（2）接受联合体投标且投标人为联合体的，指加盖联合体牵头方的单位公章。</w:t>
      </w:r>
    </w:p>
    <w:p>
      <w:pPr>
        <w:pStyle w:val="19"/>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1.3涉及“投标人代表签字”：</w:t>
      </w:r>
    </w:p>
    <w:p>
      <w:pPr>
        <w:pStyle w:val="19"/>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（1）不接受联合体投标的，指由投标人的单位负责人或其授权的委托代理人签字，由委托代理人签字的，应提供“单位授权书”。</w:t>
      </w:r>
    </w:p>
    <w:p>
      <w:pPr>
        <w:pStyle w:val="19"/>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（2）接受联合体投标且投标人为联合体的，指由联合体牵头方的单位负责人或其授权的委托代理人签字，由委托代理人签字的，应提供“单位授权书”。</w:t>
      </w:r>
    </w:p>
    <w:p>
      <w:pPr>
        <w:pStyle w:val="19"/>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1.4“其他组织”指合伙企业、非企业专业服务机构、个体工商户、农村承包经营户等。</w:t>
      </w:r>
    </w:p>
    <w:p>
      <w:pPr>
        <w:pStyle w:val="19"/>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1.5“自然人”指具有完全民事行为能力、能够承担民事责任和义务的中国公民。</w:t>
      </w:r>
    </w:p>
    <w:p>
      <w:pPr>
        <w:pStyle w:val="19"/>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2、本投标文件格式分“技术商务部分”和“报价部分”两册,装订时要求分别单独装订成册。</w:t>
      </w:r>
    </w:p>
    <w:p>
      <w:pPr>
        <w:pStyle w:val="19"/>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3、投标人对投标文件的索引应编制页码。</w:t>
      </w:r>
    </w:p>
    <w:p>
      <w:pPr>
        <w:pStyle w:val="19"/>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4、本章提供格式仅供参考，投标人应根据自身实际情况制作投标文件。</w:t>
      </w:r>
    </w:p>
    <w:p>
      <w:pPr>
        <w:pStyle w:val="19"/>
        <w:rPr>
          <w:color w:val="auto"/>
          <w:highlight w:val="none"/>
        </w:rPr>
      </w:pPr>
      <w:r>
        <w:rPr>
          <w:rFonts w:hint="eastAsia" w:ascii="宋体" w:hAnsi="宋体" w:eastAsia="宋体" w:cs="宋体"/>
          <w:color w:val="auto"/>
          <w:sz w:val="24"/>
          <w:szCs w:val="24"/>
          <w:highlight w:val="none"/>
        </w:rPr>
        <w:t xml:space="preserve"> </w:t>
      </w:r>
      <w:r>
        <w:rPr>
          <w:color w:val="auto"/>
          <w:highlight w:val="none"/>
        </w:rPr>
        <w:br w:type="textWrapping"/>
      </w:r>
      <w:r>
        <w:rPr>
          <w:color w:val="auto"/>
          <w:highlight w:val="none"/>
        </w:rPr>
        <w:br w:type="page"/>
      </w:r>
    </w:p>
    <w:p>
      <w:pPr>
        <w:pStyle w:val="19"/>
        <w:jc w:val="center"/>
        <w:outlineLvl w:val="2"/>
        <w:rPr>
          <w:b/>
          <w:color w:val="auto"/>
          <w:sz w:val="28"/>
          <w:highlight w:val="none"/>
        </w:rPr>
      </w:pPr>
      <w:r>
        <w:rPr>
          <w:b/>
          <w:color w:val="auto"/>
          <w:sz w:val="28"/>
          <w:highlight w:val="none"/>
        </w:rPr>
        <w:t>封面格式(</w:t>
      </w:r>
      <w:r>
        <w:rPr>
          <w:rFonts w:hint="eastAsia"/>
          <w:b/>
          <w:color w:val="auto"/>
          <w:sz w:val="28"/>
          <w:highlight w:val="none"/>
        </w:rPr>
        <w:t>技术商务部分</w:t>
      </w:r>
      <w:r>
        <w:rPr>
          <w:b/>
          <w:color w:val="auto"/>
          <w:sz w:val="28"/>
          <w:highlight w:val="none"/>
        </w:rPr>
        <w:t>)</w:t>
      </w:r>
    </w:p>
    <w:p>
      <w:pPr>
        <w:pStyle w:val="19"/>
        <w:jc w:val="center"/>
        <w:outlineLvl w:val="2"/>
        <w:rPr>
          <w:b/>
          <w:color w:val="auto"/>
          <w:sz w:val="28"/>
          <w:highlight w:val="none"/>
        </w:rPr>
      </w:pPr>
    </w:p>
    <w:p>
      <w:pPr>
        <w:pStyle w:val="19"/>
        <w:jc w:val="center"/>
        <w:outlineLvl w:val="0"/>
        <w:rPr>
          <w:color w:val="auto"/>
          <w:sz w:val="72"/>
          <w:szCs w:val="72"/>
          <w:highlight w:val="none"/>
        </w:rPr>
      </w:pPr>
      <w:r>
        <w:rPr>
          <w:b/>
          <w:color w:val="auto"/>
          <w:sz w:val="72"/>
          <w:szCs w:val="72"/>
          <w:highlight w:val="none"/>
        </w:rPr>
        <w:t>福建省政府采购投标文件</w:t>
      </w:r>
    </w:p>
    <w:p>
      <w:pPr>
        <w:pStyle w:val="19"/>
        <w:jc w:val="center"/>
        <w:outlineLvl w:val="0"/>
        <w:rPr>
          <w:color w:val="auto"/>
          <w:highlight w:val="none"/>
        </w:rPr>
      </w:pPr>
      <w:r>
        <w:rPr>
          <w:b/>
          <w:color w:val="auto"/>
          <w:sz w:val="72"/>
          <w:szCs w:val="72"/>
          <w:highlight w:val="none"/>
        </w:rPr>
        <w:t>（</w:t>
      </w:r>
      <w:r>
        <w:rPr>
          <w:rFonts w:hint="eastAsia"/>
          <w:b/>
          <w:color w:val="auto"/>
          <w:sz w:val="72"/>
          <w:szCs w:val="72"/>
          <w:highlight w:val="none"/>
        </w:rPr>
        <w:t>技术商务部分</w:t>
      </w:r>
      <w:r>
        <w:rPr>
          <w:b/>
          <w:color w:val="auto"/>
          <w:sz w:val="72"/>
          <w:szCs w:val="72"/>
          <w:highlight w:val="none"/>
        </w:rPr>
        <w:t>）</w:t>
      </w:r>
      <w:r>
        <w:rPr>
          <w:color w:val="auto"/>
          <w:highlight w:val="none"/>
        </w:rPr>
        <w:br w:type="textWrapping"/>
      </w:r>
      <w:r>
        <w:rPr>
          <w:color w:val="auto"/>
          <w:highlight w:val="none"/>
        </w:rPr>
        <w:br w:type="textWrapping"/>
      </w:r>
      <w:r>
        <w:rPr>
          <w:color w:val="auto"/>
          <w:highlight w:val="none"/>
        </w:rPr>
        <w:br w:type="textWrapping"/>
      </w:r>
    </w:p>
    <w:p>
      <w:pPr>
        <w:pStyle w:val="19"/>
        <w:jc w:val="center"/>
        <w:outlineLvl w:val="1"/>
        <w:rPr>
          <w:color w:val="auto"/>
          <w:highlight w:val="none"/>
        </w:rPr>
      </w:pPr>
      <w:r>
        <w:rPr>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pPr>
        <w:pStyle w:val="19"/>
        <w:jc w:val="center"/>
        <w:outlineLvl w:val="2"/>
        <w:rPr>
          <w:color w:val="auto"/>
          <w:highlight w:val="none"/>
        </w:rPr>
      </w:pPr>
      <w:r>
        <w:rPr>
          <w:b/>
          <w:color w:val="auto"/>
          <w:sz w:val="28"/>
          <w:highlight w:val="none"/>
        </w:rPr>
        <w:t>（项目名称：（由投标人填写）</w:t>
      </w:r>
    </w:p>
    <w:p>
      <w:pPr>
        <w:pStyle w:val="19"/>
        <w:jc w:val="center"/>
        <w:outlineLvl w:val="2"/>
        <w:rPr>
          <w:color w:val="auto"/>
          <w:highlight w:val="none"/>
        </w:rPr>
      </w:pPr>
      <w:r>
        <w:rPr>
          <w:b/>
          <w:color w:val="auto"/>
          <w:sz w:val="28"/>
          <w:highlight w:val="none"/>
        </w:rPr>
        <w:t>（备案编号：（由投标人填写）</w:t>
      </w:r>
    </w:p>
    <w:p>
      <w:pPr>
        <w:pStyle w:val="19"/>
        <w:jc w:val="center"/>
        <w:outlineLvl w:val="2"/>
        <w:rPr>
          <w:color w:val="auto"/>
          <w:highlight w:val="none"/>
        </w:rPr>
      </w:pPr>
      <w:r>
        <w:rPr>
          <w:b/>
          <w:color w:val="auto"/>
          <w:sz w:val="28"/>
          <w:highlight w:val="none"/>
        </w:rPr>
        <w:t>（项目编号：（由投标人填写）</w:t>
      </w:r>
    </w:p>
    <w:p>
      <w:pPr>
        <w:pStyle w:val="19"/>
        <w:jc w:val="center"/>
        <w:outlineLvl w:val="2"/>
        <w:rPr>
          <w:color w:val="auto"/>
          <w:highlight w:val="none"/>
        </w:rPr>
      </w:pPr>
      <w:r>
        <w:rPr>
          <w:b/>
          <w:color w:val="auto"/>
          <w:sz w:val="28"/>
          <w:highlight w:val="none"/>
        </w:rPr>
        <w:t>（所投</w:t>
      </w:r>
      <w:r>
        <w:rPr>
          <w:rFonts w:hint="eastAsia"/>
          <w:b/>
          <w:color w:val="auto"/>
          <w:sz w:val="28"/>
          <w:highlight w:val="none"/>
          <w:lang w:eastAsia="zh-CN"/>
        </w:rPr>
        <w:t>合同包</w:t>
      </w:r>
      <w:r>
        <w:rPr>
          <w:b/>
          <w:color w:val="auto"/>
          <w:sz w:val="28"/>
          <w:highlight w:val="none"/>
        </w:rPr>
        <w:t>：（由投标人填写）</w:t>
      </w:r>
      <w:r>
        <w:rPr>
          <w:color w:val="auto"/>
          <w:highlight w:val="none"/>
        </w:rPr>
        <w:br w:type="textWrapping"/>
      </w:r>
    </w:p>
    <w:p>
      <w:pPr>
        <w:pStyle w:val="19"/>
        <w:jc w:val="center"/>
        <w:outlineLvl w:val="2"/>
        <w:rPr>
          <w:color w:val="auto"/>
          <w:highlight w:val="none"/>
        </w:rPr>
      </w:pPr>
    </w:p>
    <w:p>
      <w:pPr>
        <w:pStyle w:val="19"/>
        <w:jc w:val="center"/>
        <w:outlineLvl w:val="2"/>
        <w:rPr>
          <w:color w:val="auto"/>
          <w:highlight w:val="none"/>
        </w:rPr>
      </w:pPr>
    </w:p>
    <w:p>
      <w:pPr>
        <w:pStyle w:val="19"/>
        <w:jc w:val="center"/>
        <w:outlineLvl w:val="2"/>
        <w:rPr>
          <w:color w:val="auto"/>
          <w:highlight w:val="none"/>
        </w:rPr>
      </w:pPr>
    </w:p>
    <w:p>
      <w:pPr>
        <w:pStyle w:val="19"/>
        <w:jc w:val="center"/>
        <w:outlineLvl w:val="2"/>
        <w:rPr>
          <w:color w:val="auto"/>
          <w:highlight w:val="none"/>
        </w:rPr>
      </w:pPr>
    </w:p>
    <w:p>
      <w:pPr>
        <w:pStyle w:val="19"/>
        <w:jc w:val="center"/>
        <w:outlineLvl w:val="2"/>
        <w:rPr>
          <w:color w:val="auto"/>
          <w:highlight w:val="none"/>
        </w:rPr>
      </w:pPr>
    </w:p>
    <w:p>
      <w:pPr>
        <w:pStyle w:val="19"/>
        <w:jc w:val="center"/>
        <w:outlineLvl w:val="2"/>
        <w:rPr>
          <w:color w:val="auto"/>
          <w:highlight w:val="none"/>
        </w:rPr>
      </w:pPr>
    </w:p>
    <w:p>
      <w:pPr>
        <w:pStyle w:val="19"/>
        <w:jc w:val="center"/>
        <w:outlineLvl w:val="2"/>
        <w:rPr>
          <w:color w:val="auto"/>
          <w:highlight w:val="none"/>
        </w:rPr>
      </w:pPr>
      <w:r>
        <w:rPr>
          <w:color w:val="auto"/>
          <w:highlight w:val="none"/>
        </w:rPr>
        <w:br w:type="textWrapping"/>
      </w:r>
    </w:p>
    <w:p>
      <w:pPr>
        <w:pStyle w:val="19"/>
        <w:jc w:val="center"/>
        <w:outlineLvl w:val="2"/>
        <w:rPr>
          <w:color w:val="auto"/>
          <w:highlight w:val="none"/>
        </w:rPr>
      </w:pPr>
      <w:r>
        <w:rPr>
          <w:b/>
          <w:color w:val="auto"/>
          <w:sz w:val="28"/>
          <w:highlight w:val="none"/>
        </w:rPr>
        <w:t>投标人：（填写“全称”）</w:t>
      </w:r>
    </w:p>
    <w:p>
      <w:pPr>
        <w:pStyle w:val="19"/>
        <w:jc w:val="center"/>
        <w:outlineLvl w:val="2"/>
        <w:rPr>
          <w:color w:val="auto"/>
          <w:highlight w:val="none"/>
        </w:rPr>
      </w:pPr>
      <w:r>
        <w:rPr>
          <w:b/>
          <w:color w:val="auto"/>
          <w:sz w:val="28"/>
          <w:highlight w:val="none"/>
        </w:rPr>
        <w:t>（由投标人填写）年（由投标人填写）月</w:t>
      </w:r>
    </w:p>
    <w:p>
      <w:pPr>
        <w:pStyle w:val="19"/>
        <w:rPr>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19"/>
        <w:jc w:val="center"/>
        <w:rPr>
          <w:rFonts w:hint="eastAsia"/>
          <w:b/>
          <w:color w:val="auto"/>
          <w:sz w:val="28"/>
          <w:highlight w:val="none"/>
          <w:lang w:val="en-US" w:eastAsia="zh-CN"/>
        </w:rPr>
      </w:pPr>
      <w:r>
        <w:rPr>
          <w:rFonts w:hint="eastAsia"/>
          <w:b/>
          <w:color w:val="auto"/>
          <w:sz w:val="28"/>
          <w:highlight w:val="none"/>
          <w:lang w:val="en-US" w:eastAsia="zh-CN"/>
        </w:rPr>
        <w:t>目录</w:t>
      </w:r>
    </w:p>
    <w:p>
      <w:pPr>
        <w:spacing w:line="480" w:lineRule="exact"/>
        <w:rPr>
          <w:rFonts w:hint="eastAsia" w:ascii="宋体" w:hAnsi="宋体"/>
          <w:color w:val="auto"/>
          <w:szCs w:val="21"/>
          <w:highlight w:val="none"/>
        </w:rPr>
      </w:pPr>
      <w:r>
        <w:rPr>
          <w:rFonts w:hint="eastAsia" w:ascii="宋体" w:hAnsi="宋体"/>
          <w:color w:val="auto"/>
          <w:szCs w:val="21"/>
          <w:highlight w:val="none"/>
        </w:rPr>
        <w:t>1.  投标书(附件1)……………………………………………………………………………………页码</w:t>
      </w:r>
    </w:p>
    <w:p>
      <w:pPr>
        <w:spacing w:line="480" w:lineRule="exact"/>
        <w:rPr>
          <w:rFonts w:hint="eastAsia" w:ascii="宋体" w:hAnsi="宋体"/>
          <w:color w:val="auto"/>
          <w:szCs w:val="21"/>
          <w:highlight w:val="none"/>
        </w:rPr>
      </w:pPr>
      <w:r>
        <w:rPr>
          <w:rFonts w:hint="eastAsia" w:ascii="宋体" w:hAnsi="宋体"/>
          <w:color w:val="auto"/>
          <w:szCs w:val="21"/>
          <w:highlight w:val="none"/>
        </w:rPr>
        <w:t>2.  货物说明一览表(附件2)…………………………………………………………………………页码</w:t>
      </w:r>
    </w:p>
    <w:p>
      <w:pPr>
        <w:spacing w:line="480" w:lineRule="exact"/>
        <w:rPr>
          <w:rFonts w:hint="eastAsia" w:ascii="宋体" w:hAnsi="宋体"/>
          <w:color w:val="auto"/>
          <w:szCs w:val="21"/>
          <w:highlight w:val="none"/>
        </w:rPr>
      </w:pPr>
      <w:r>
        <w:rPr>
          <w:rFonts w:hint="eastAsia" w:ascii="宋体" w:hAnsi="宋体"/>
          <w:color w:val="auto"/>
          <w:szCs w:val="21"/>
          <w:highlight w:val="none"/>
        </w:rPr>
        <w:t>3.  供货范围清单(附件3)……………………………………………………………………………页码</w:t>
      </w:r>
    </w:p>
    <w:p>
      <w:pPr>
        <w:spacing w:line="480" w:lineRule="exact"/>
        <w:rPr>
          <w:rFonts w:hint="eastAsia" w:ascii="宋体" w:hAnsi="宋体"/>
          <w:color w:val="auto"/>
          <w:szCs w:val="21"/>
          <w:highlight w:val="none"/>
        </w:rPr>
      </w:pPr>
      <w:r>
        <w:rPr>
          <w:rFonts w:hint="eastAsia" w:ascii="宋体" w:hAnsi="宋体"/>
          <w:color w:val="auto"/>
          <w:szCs w:val="21"/>
          <w:highlight w:val="none"/>
        </w:rPr>
        <w:t xml:space="preserve">4.  </w:t>
      </w:r>
      <w:r>
        <w:rPr>
          <w:rFonts w:hint="eastAsia" w:ascii="宋体" w:hAnsi="宋体"/>
          <w:color w:val="auto"/>
          <w:szCs w:val="21"/>
          <w:highlight w:val="none"/>
          <w:lang w:eastAsia="zh-CN"/>
        </w:rPr>
        <w:t>技术服务和商务偏离表</w:t>
      </w:r>
      <w:r>
        <w:rPr>
          <w:rFonts w:hint="eastAsia" w:ascii="宋体" w:hAnsi="宋体"/>
          <w:color w:val="auto"/>
          <w:szCs w:val="21"/>
          <w:highlight w:val="none"/>
        </w:rPr>
        <w:t>(附件4)…………………………………………………………………页码</w:t>
      </w:r>
    </w:p>
    <w:p>
      <w:pPr>
        <w:spacing w:line="480" w:lineRule="exact"/>
        <w:rPr>
          <w:rFonts w:hint="eastAsia" w:ascii="宋体" w:hAnsi="宋体"/>
          <w:color w:val="auto"/>
          <w:szCs w:val="21"/>
          <w:highlight w:val="none"/>
        </w:rPr>
      </w:pPr>
      <w:r>
        <w:rPr>
          <w:rFonts w:hint="eastAsia" w:ascii="宋体" w:hAnsi="宋体"/>
          <w:color w:val="auto"/>
          <w:szCs w:val="21"/>
          <w:highlight w:val="none"/>
        </w:rPr>
        <w:t xml:space="preserve">5.  </w:t>
      </w:r>
      <w:r>
        <w:rPr>
          <w:rFonts w:hint="eastAsia" w:ascii="宋体" w:hAnsi="宋体"/>
          <w:bCs/>
          <w:color w:val="auto"/>
          <w:szCs w:val="21"/>
          <w:highlight w:val="none"/>
        </w:rPr>
        <w:t>技术服务体系与维保方案</w:t>
      </w:r>
      <w:r>
        <w:rPr>
          <w:rFonts w:hint="eastAsia" w:ascii="宋体" w:hAnsi="宋体"/>
          <w:color w:val="auto"/>
          <w:szCs w:val="21"/>
          <w:highlight w:val="none"/>
        </w:rPr>
        <w:t>(附件5)………………………………………………………………页码</w:t>
      </w:r>
    </w:p>
    <w:p>
      <w:pPr>
        <w:spacing w:line="480" w:lineRule="exact"/>
        <w:rPr>
          <w:rFonts w:hint="eastAsia" w:ascii="宋体" w:hAnsi="宋体"/>
          <w:color w:val="auto"/>
          <w:szCs w:val="21"/>
          <w:highlight w:val="none"/>
        </w:rPr>
      </w:pPr>
      <w:r>
        <w:rPr>
          <w:rFonts w:hint="eastAsia" w:ascii="宋体" w:hAnsi="宋体"/>
          <w:color w:val="auto"/>
          <w:szCs w:val="21"/>
          <w:highlight w:val="none"/>
        </w:rPr>
        <w:t>6.  投标人的</w:t>
      </w:r>
      <w:r>
        <w:rPr>
          <w:rFonts w:hint="eastAsia" w:ascii="宋体" w:hAnsi="宋体"/>
          <w:color w:val="auto"/>
          <w:szCs w:val="21"/>
          <w:highlight w:val="none"/>
          <w:lang w:eastAsia="zh-CN"/>
        </w:rPr>
        <w:t>资格及资信证明文件</w:t>
      </w:r>
      <w:r>
        <w:rPr>
          <w:rFonts w:hint="eastAsia" w:ascii="宋体" w:hAnsi="宋体"/>
          <w:color w:val="auto"/>
          <w:szCs w:val="21"/>
          <w:highlight w:val="none"/>
        </w:rPr>
        <w:t>(附件6)…………………………………………………………页码</w:t>
      </w:r>
    </w:p>
    <w:p>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关于资格的声明函(附件6-1)……………………………………………………………………页码</w:t>
      </w:r>
    </w:p>
    <w:p>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投标人的资格声明(附件6-2)……………………………………………………………………页码</w:t>
      </w:r>
    </w:p>
    <w:p>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法人营业执照、税务登记证、组织机构代码证(附件6-3)……………………………………页码</w:t>
      </w:r>
    </w:p>
    <w:p>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投标人财务状况证明明材料 (附件6-4) ………………………………………………………页码</w:t>
      </w:r>
    </w:p>
    <w:p>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投标人依法缴纳税收和社会保障资金的证明材料(附件6-5)…………………………………页码</w:t>
      </w:r>
    </w:p>
    <w:p>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投标人具备履行合同所必需的设备和专业技术能力的证明材料(附件6-6)…………………页码</w:t>
      </w:r>
    </w:p>
    <w:p>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投标前3年内在经营活动中没有重大违法记录的书面声明(附件6-7)………………………页码</w:t>
      </w:r>
    </w:p>
    <w:p>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其它</w:t>
      </w:r>
      <w:r>
        <w:rPr>
          <w:rFonts w:hint="eastAsia" w:ascii="宋体" w:hAnsi="宋体"/>
          <w:color w:val="auto"/>
          <w:szCs w:val="21"/>
          <w:highlight w:val="none"/>
          <w:lang w:eastAsia="zh-CN"/>
        </w:rPr>
        <w:t>资格及资信证明文件</w:t>
      </w:r>
      <w:r>
        <w:rPr>
          <w:rFonts w:hint="eastAsia" w:ascii="宋体" w:hAnsi="宋体"/>
          <w:color w:val="auto"/>
          <w:szCs w:val="21"/>
          <w:highlight w:val="none"/>
        </w:rPr>
        <w:t>(附件6-8) ………………………………………………………………… 页码</w:t>
      </w:r>
    </w:p>
    <w:p>
      <w:pPr>
        <w:spacing w:line="480" w:lineRule="exact"/>
        <w:rPr>
          <w:rFonts w:hint="eastAsia" w:ascii="宋体" w:hAnsi="宋体"/>
          <w:color w:val="auto"/>
          <w:szCs w:val="21"/>
          <w:highlight w:val="none"/>
        </w:rPr>
      </w:pPr>
      <w:r>
        <w:rPr>
          <w:rFonts w:hint="eastAsia" w:ascii="宋体" w:hAnsi="宋体"/>
          <w:color w:val="auto"/>
          <w:szCs w:val="21"/>
          <w:highlight w:val="none"/>
        </w:rPr>
        <w:t>7.  企业和投标人代表没有行贿犯罪记录承诺函(附件7)…………………………………………页码</w:t>
      </w:r>
    </w:p>
    <w:p>
      <w:pPr>
        <w:spacing w:line="480" w:lineRule="exact"/>
        <w:rPr>
          <w:rFonts w:hint="eastAsia" w:ascii="宋体" w:hAnsi="宋体"/>
          <w:color w:val="auto"/>
          <w:szCs w:val="21"/>
          <w:highlight w:val="none"/>
        </w:rPr>
      </w:pPr>
      <w:r>
        <w:rPr>
          <w:rFonts w:hint="eastAsia" w:ascii="宋体" w:hAnsi="宋体"/>
          <w:color w:val="auto"/>
          <w:szCs w:val="21"/>
          <w:highlight w:val="none"/>
        </w:rPr>
        <w:t>8.  投标人代表合法性证明</w:t>
      </w:r>
      <w:r>
        <w:rPr>
          <w:rFonts w:hint="eastAsia" w:ascii="宋体" w:hAnsi="宋体"/>
          <w:color w:val="auto"/>
          <w:szCs w:val="21"/>
          <w:highlight w:val="none"/>
        </w:rPr>
        <w:t>(附件8)</w:t>
      </w:r>
      <w:r>
        <w:rPr>
          <w:rFonts w:hint="eastAsia" w:ascii="宋体" w:hAnsi="宋体"/>
          <w:color w:val="auto"/>
          <w:szCs w:val="21"/>
          <w:highlight w:val="none"/>
        </w:rPr>
        <w:t>…………………………………………………………………页码</w:t>
      </w:r>
    </w:p>
    <w:p>
      <w:pPr>
        <w:spacing w:line="480" w:lineRule="exact"/>
        <w:rPr>
          <w:rFonts w:hint="eastAsia" w:ascii="宋体" w:hAnsi="宋体"/>
          <w:color w:val="auto"/>
          <w:szCs w:val="21"/>
          <w:highlight w:val="none"/>
        </w:rPr>
      </w:pPr>
      <w:r>
        <w:rPr>
          <w:rFonts w:hint="eastAsia" w:ascii="宋体" w:hAnsi="宋体"/>
          <w:color w:val="auto"/>
          <w:szCs w:val="21"/>
          <w:highlight w:val="none"/>
        </w:rPr>
        <w:t>9． 投标人提交的其他资料(附件9) …………………………………………………………………页码</w:t>
      </w:r>
    </w:p>
    <w:p>
      <w:pPr>
        <w:spacing w:line="480" w:lineRule="exact"/>
        <w:rPr>
          <w:rFonts w:hint="eastAsia" w:ascii="宋体" w:hAnsi="宋体"/>
          <w:color w:val="auto"/>
          <w:szCs w:val="21"/>
          <w:highlight w:val="none"/>
        </w:rPr>
      </w:pPr>
      <w:r>
        <w:rPr>
          <w:rFonts w:hint="eastAsia" w:ascii="宋体" w:hAnsi="宋体"/>
          <w:color w:val="auto"/>
          <w:szCs w:val="21"/>
          <w:highlight w:val="none"/>
        </w:rPr>
        <w:t>10． 招标服务费承诺书(附件10) ……………………………………………………………………页码</w:t>
      </w:r>
    </w:p>
    <w:p>
      <w:pPr>
        <w:spacing w:line="480" w:lineRule="exact"/>
        <w:rPr>
          <w:rFonts w:hint="eastAsia" w:ascii="宋体" w:hAnsi="宋体"/>
          <w:color w:val="auto"/>
          <w:szCs w:val="21"/>
          <w:highlight w:val="none"/>
        </w:rPr>
      </w:pPr>
      <w:r>
        <w:rPr>
          <w:rFonts w:hint="eastAsia" w:ascii="宋体" w:hAnsi="宋体"/>
          <w:color w:val="auto"/>
          <w:szCs w:val="21"/>
          <w:highlight w:val="none"/>
        </w:rPr>
        <w:t xml:space="preserve">11． </w:t>
      </w:r>
      <w:r>
        <w:rPr>
          <w:rFonts w:hint="eastAsia" w:ascii="宋体" w:hAnsi="宋体"/>
          <w:color w:val="auto"/>
          <w:szCs w:val="21"/>
          <w:highlight w:val="none"/>
          <w:lang w:eastAsia="zh-CN"/>
        </w:rPr>
        <w:t>退还</w:t>
      </w:r>
      <w:r>
        <w:rPr>
          <w:rFonts w:hint="eastAsia" w:ascii="宋体" w:hAnsi="宋体"/>
          <w:color w:val="auto"/>
          <w:szCs w:val="21"/>
          <w:highlight w:val="none"/>
        </w:rPr>
        <w:t>投标保证金说明函（含保证金交纳单据）(附件11) ……………………………………页码</w:t>
      </w:r>
    </w:p>
    <w:p>
      <w:pPr>
        <w:rPr>
          <w:rFonts w:hint="eastAsia" w:ascii="宋体" w:hAnsi="宋体"/>
          <w:b/>
          <w:color w:val="auto"/>
          <w:sz w:val="36"/>
          <w:highlight w:val="none"/>
        </w:rPr>
      </w:pPr>
    </w:p>
    <w:p>
      <w:pPr>
        <w:rPr>
          <w:rFonts w:hint="eastAsia" w:ascii="宋体" w:hAnsi="宋体"/>
          <w:b/>
          <w:color w:val="auto"/>
          <w:szCs w:val="21"/>
          <w:highlight w:val="none"/>
        </w:rPr>
      </w:pPr>
      <w:r>
        <w:rPr>
          <w:rFonts w:hint="eastAsia" w:ascii="宋体" w:hAnsi="宋体"/>
          <w:b/>
          <w:color w:val="auto"/>
          <w:szCs w:val="21"/>
          <w:highlight w:val="none"/>
        </w:rPr>
        <w:t>注：目录应标注页码</w:t>
      </w:r>
    </w:p>
    <w:p>
      <w:pPr>
        <w:rPr>
          <w:rFonts w:hint="eastAsia" w:ascii="宋体" w:hAnsi="宋体"/>
          <w:b/>
          <w:color w:val="auto"/>
          <w:szCs w:val="21"/>
          <w:highlight w:val="none"/>
        </w:rPr>
      </w:pPr>
    </w:p>
    <w:p>
      <w:pPr>
        <w:pStyle w:val="22"/>
        <w:spacing w:line="300" w:lineRule="exact"/>
        <w:jc w:val="left"/>
        <w:outlineLvl w:val="9"/>
        <w:rPr>
          <w:rFonts w:hAnsi="宋体"/>
          <w:color w:val="auto"/>
          <w:sz w:val="21"/>
          <w:szCs w:val="21"/>
          <w:highlight w:val="none"/>
        </w:rPr>
      </w:pPr>
    </w:p>
    <w:p>
      <w:pPr>
        <w:pStyle w:val="22"/>
        <w:spacing w:line="300" w:lineRule="exact"/>
        <w:jc w:val="left"/>
        <w:rPr>
          <w:rFonts w:hAnsi="宋体"/>
          <w:color w:val="auto"/>
          <w:sz w:val="21"/>
          <w:szCs w:val="21"/>
          <w:highlight w:val="none"/>
        </w:rPr>
      </w:pPr>
      <w:r>
        <w:rPr>
          <w:rFonts w:hAnsi="宋体"/>
          <w:color w:val="auto"/>
          <w:sz w:val="21"/>
          <w:szCs w:val="21"/>
          <w:highlight w:val="none"/>
        </w:rPr>
        <w:br w:type="page"/>
      </w:r>
      <w:bookmarkStart w:id="0" w:name="_Toc18620"/>
      <w:bookmarkStart w:id="1" w:name="_Toc4231"/>
      <w:bookmarkStart w:id="2" w:name="_Toc17304"/>
      <w:r>
        <w:rPr>
          <w:rFonts w:hAnsi="宋体"/>
          <w:color w:val="auto"/>
          <w:sz w:val="21"/>
          <w:szCs w:val="21"/>
          <w:highlight w:val="none"/>
        </w:rPr>
        <w:t>附件1、</w:t>
      </w:r>
      <w:bookmarkEnd w:id="0"/>
      <w:bookmarkEnd w:id="1"/>
      <w:bookmarkEnd w:id="2"/>
    </w:p>
    <w:p>
      <w:pPr>
        <w:pStyle w:val="22"/>
        <w:spacing w:before="624" w:beforeLines="200" w:line="340" w:lineRule="exact"/>
        <w:jc w:val="center"/>
        <w:rPr>
          <w:rFonts w:hAnsi="宋体"/>
          <w:b/>
          <w:color w:val="auto"/>
          <w:sz w:val="32"/>
          <w:szCs w:val="32"/>
          <w:highlight w:val="none"/>
        </w:rPr>
      </w:pPr>
      <w:bookmarkStart w:id="3" w:name="_Toc20081"/>
      <w:bookmarkStart w:id="4" w:name="_Toc7711"/>
      <w:bookmarkStart w:id="5" w:name="_Toc3382"/>
      <w:r>
        <w:rPr>
          <w:rFonts w:hAnsi="宋体"/>
          <w:b/>
          <w:color w:val="auto"/>
          <w:sz w:val="32"/>
          <w:szCs w:val="32"/>
          <w:highlight w:val="none"/>
        </w:rPr>
        <w:t>投</w:t>
      </w:r>
      <w:bookmarkEnd w:id="3"/>
      <w:bookmarkEnd w:id="4"/>
      <w:bookmarkEnd w:id="5"/>
      <w:r>
        <w:rPr>
          <w:rFonts w:hint="eastAsia" w:hAnsi="宋体"/>
          <w:b/>
          <w:color w:val="auto"/>
          <w:sz w:val="32"/>
          <w:szCs w:val="32"/>
          <w:highlight w:val="none"/>
        </w:rPr>
        <w:t>标函</w:t>
      </w:r>
    </w:p>
    <w:p>
      <w:pPr>
        <w:pStyle w:val="22"/>
        <w:spacing w:line="300" w:lineRule="exact"/>
        <w:jc w:val="center"/>
        <w:outlineLvl w:val="9"/>
        <w:rPr>
          <w:rFonts w:hAnsi="宋体"/>
          <w:b/>
          <w:color w:val="auto"/>
          <w:sz w:val="32"/>
          <w:szCs w:val="32"/>
          <w:highlight w:val="none"/>
        </w:rPr>
      </w:pPr>
    </w:p>
    <w:p>
      <w:pPr>
        <w:spacing w:line="360" w:lineRule="exact"/>
        <w:rPr>
          <w:rFonts w:hint="eastAsia" w:ascii="宋体" w:hAnsi="宋体" w:eastAsia="宋体"/>
          <w:color w:val="auto"/>
          <w:szCs w:val="21"/>
          <w:highlight w:val="none"/>
          <w:lang w:eastAsia="zh-CN"/>
        </w:rPr>
      </w:pPr>
      <w:r>
        <w:rPr>
          <w:rFonts w:hint="eastAsia" w:ascii="宋体" w:hAnsi="宋体"/>
          <w:color w:val="auto"/>
          <w:szCs w:val="21"/>
          <w:highlight w:val="none"/>
        </w:rPr>
        <w:t>致：</w:t>
      </w:r>
      <w:r>
        <w:rPr>
          <w:rFonts w:hint="eastAsia" w:ascii="宋体" w:hAnsi="宋体"/>
          <w:color w:val="auto"/>
          <w:szCs w:val="21"/>
          <w:highlight w:val="none"/>
          <w:lang w:eastAsia="zh-CN"/>
        </w:rPr>
        <w:t>福建吉瑞招标代理有限公司</w:t>
      </w:r>
    </w:p>
    <w:p>
      <w:pPr>
        <w:spacing w:line="400" w:lineRule="exact"/>
        <w:ind w:firstLine="420"/>
        <w:rPr>
          <w:rFonts w:hint="eastAsia" w:ascii="宋体" w:hAnsi="宋体"/>
          <w:color w:val="auto"/>
          <w:szCs w:val="21"/>
          <w:highlight w:val="none"/>
        </w:rPr>
      </w:pPr>
      <w:r>
        <w:rPr>
          <w:rFonts w:hint="eastAsia" w:ascii="宋体" w:hAnsi="宋体"/>
          <w:color w:val="auto"/>
          <w:szCs w:val="21"/>
          <w:highlight w:val="none"/>
        </w:rPr>
        <w:t>我方认真研究了</w:t>
      </w:r>
      <w:r>
        <w:rPr>
          <w:rFonts w:hint="eastAsia" w:ascii="宋体" w:hAnsi="宋体"/>
          <w:color w:val="auto"/>
          <w:szCs w:val="21"/>
          <w:highlight w:val="none"/>
          <w:u w:val="single"/>
        </w:rPr>
        <w:t xml:space="preserve">                                   </w:t>
      </w:r>
      <w:r>
        <w:rPr>
          <w:rFonts w:hint="eastAsia" w:ascii="宋体" w:hAnsi="宋体"/>
          <w:color w:val="auto"/>
          <w:szCs w:val="21"/>
          <w:highlight w:val="none"/>
        </w:rPr>
        <w:t>项目招标文件（含补遗书和答疑书），（招标编号）：</w:t>
      </w:r>
      <w:r>
        <w:rPr>
          <w:rFonts w:hint="eastAsia" w:ascii="宋体" w:hAnsi="宋体"/>
          <w:color w:val="auto"/>
          <w:szCs w:val="21"/>
          <w:highlight w:val="none"/>
          <w:u w:val="single"/>
        </w:rPr>
        <w:t xml:space="preserve">             </w:t>
      </w:r>
      <w:r>
        <w:rPr>
          <w:rFonts w:hint="eastAsia" w:ascii="宋体" w:hAnsi="宋体"/>
          <w:color w:val="auto"/>
          <w:szCs w:val="21"/>
          <w:highlight w:val="none"/>
        </w:rPr>
        <w:t>。我方愿按招标文件的要求提供相应的货物及服务。</w:t>
      </w:r>
    </w:p>
    <w:p>
      <w:pPr>
        <w:spacing w:line="400" w:lineRule="exact"/>
        <w:ind w:firstLine="420"/>
        <w:rPr>
          <w:rFonts w:hint="eastAsia" w:ascii="宋体" w:hAnsi="宋体"/>
          <w:color w:val="auto"/>
          <w:szCs w:val="21"/>
          <w:highlight w:val="none"/>
        </w:rPr>
      </w:pPr>
      <w:r>
        <w:rPr>
          <w:rFonts w:hint="eastAsia" w:ascii="宋体" w:hAnsi="宋体"/>
          <w:color w:val="auto"/>
          <w:szCs w:val="21"/>
          <w:highlight w:val="none"/>
        </w:rPr>
        <w:t>我方同意在规定的递交投标文件截止时间算起的90个日历天内，受投标文件的约束。在上述时间内，本投标文件对我方一直有约束力，并可随时被接受中标。</w:t>
      </w:r>
    </w:p>
    <w:p>
      <w:pPr>
        <w:spacing w:line="400" w:lineRule="exact"/>
        <w:ind w:firstLine="420"/>
        <w:rPr>
          <w:rFonts w:hint="eastAsia" w:ascii="宋体" w:hAnsi="宋体"/>
          <w:color w:val="auto"/>
          <w:szCs w:val="21"/>
          <w:highlight w:val="none"/>
        </w:rPr>
      </w:pPr>
      <w:r>
        <w:rPr>
          <w:rFonts w:hint="eastAsia" w:ascii="宋体" w:hAnsi="宋体"/>
          <w:color w:val="auto"/>
          <w:szCs w:val="21"/>
          <w:highlight w:val="none"/>
        </w:rPr>
        <w:t>在正式合同签署并生效之前，本投标文件连同贵方的中标通知书，将对我方具有约束力。</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根据本函，本投标人代表宣布我方保证遵守招标文件的全部规定，同时：</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1、确认：</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1.1所投采购包的投标报价详见“开标一览表”及“投标分项报价表”。</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1.2我方已详细审查全部招标文件[包括但不限于：有关附件（若有）、澄清或修改（若有）等]，并自行承担因对全部招标文件理解不正确或误解而产生的相应后果和责任。</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2、承诺及声明：</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2.1我方具备招标文件第一章载明的“投标人的资格要求”且符合招标文件第三章载明的“二、投标人”之规定，否则投标无效。</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2.2我方提交的电子投标文件各组成部分的全部内容及资料是不可割离且真实、有效、准确、完整和不具有任何误导性的，否则产生不利后果由我方承担责任。</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2.3我方提供的标的价格不高于同期市场价格，否则产生不利后果由我方承担责任。</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2.4投标保证金：若出现招标文件第三章规定的不予退还情形，同意贵单位不予退还。</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2.5投标有效期：按照招标文件第三章规定执行，并在招标文件第二章载明的期限内保持有效。</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2.6若中标，将按照招标文件、我方电子投标文件及政府采购合同履行责任和义务。</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2.7若贵单位要求，我方同意提供与本项目投标有关的一切资料、数据或文件，并完全理解贵单位不一定要接受最低的投标报价或收到的任何投标。</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2.8我方承诺遵守《中华人民共和国劳动合同法》有关规定和《中华人民共和国妇女权益保障法 》中关于“劳动和社会保障权益”的有关要求。</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2.9我方承诺电子投标文件所提供的全部资料真实可靠，并接受评标委员会、采购人、采购代理机构、监管部门进一步审查其中任何资料真实性的要求。</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2.10除招标文件另有规定外，对于贵单位按照下述联络方式发出的任何信息或通知，均视为我方已收悉前述信息或通知的全部内容：</w:t>
      </w:r>
    </w:p>
    <w:p>
      <w:pPr>
        <w:pStyle w:val="13"/>
        <w:spacing w:line="400" w:lineRule="exact"/>
        <w:jc w:val="both"/>
        <w:rPr>
          <w:rFonts w:ascii="宋体" w:eastAsia="宋体"/>
          <w:color w:val="auto"/>
          <w:highlight w:val="none"/>
        </w:rPr>
      </w:pPr>
      <w:r>
        <w:rPr>
          <w:rFonts w:hint="eastAsia" w:ascii="宋体" w:eastAsia="宋体"/>
          <w:color w:val="auto"/>
          <w:highlight w:val="none"/>
        </w:rPr>
        <w:t>投标人名称</w:t>
      </w:r>
      <w:r>
        <w:rPr>
          <w:rFonts w:ascii="宋体" w:eastAsia="宋体"/>
          <w:color w:val="auto"/>
          <w:highlight w:val="none"/>
        </w:rPr>
        <w:t>：</w:t>
      </w:r>
      <w:r>
        <w:rPr>
          <w:rFonts w:ascii="宋体" w:eastAsia="宋体"/>
          <w:color w:val="auto"/>
          <w:highlight w:val="none"/>
          <w:u w:val="single"/>
        </w:rPr>
        <w:t xml:space="preserve">                            </w:t>
      </w:r>
      <w:r>
        <w:rPr>
          <w:rFonts w:hint="eastAsia" w:ascii="宋体" w:eastAsia="宋体"/>
          <w:color w:val="auto"/>
          <w:highlight w:val="none"/>
          <w:u w:val="single"/>
        </w:rPr>
        <w:t xml:space="preserve">           （全称并加盖公章）  </w:t>
      </w:r>
    </w:p>
    <w:p>
      <w:pPr>
        <w:spacing w:line="400" w:lineRule="exact"/>
        <w:rPr>
          <w:rFonts w:hint="eastAsia" w:ascii="宋体" w:hAnsi="宋体"/>
          <w:color w:val="auto"/>
          <w:szCs w:val="21"/>
          <w:highlight w:val="none"/>
          <w:u w:val="single"/>
        </w:rPr>
      </w:pPr>
      <w:r>
        <w:rPr>
          <w:rFonts w:hint="eastAsia" w:ascii="宋体" w:hAnsi="宋体"/>
          <w:color w:val="auto"/>
          <w:highlight w:val="none"/>
        </w:rPr>
        <w:t>投标人法定代表人或其授权代表：</w:t>
      </w:r>
      <w:r>
        <w:rPr>
          <w:rFonts w:hint="eastAsia" w:ascii="宋体" w:hAnsi="宋体"/>
          <w:color w:val="auto"/>
          <w:highlight w:val="none"/>
          <w:u w:val="single"/>
        </w:rPr>
        <w:t>（印刷字体）                 （</w:t>
      </w:r>
      <w:r>
        <w:rPr>
          <w:rFonts w:hint="eastAsia" w:ascii="宋体" w:hAnsi="宋体"/>
          <w:color w:val="auto"/>
          <w:szCs w:val="21"/>
          <w:highlight w:val="none"/>
          <w:u w:val="single"/>
        </w:rPr>
        <w:t>签字或盖章）</w:t>
      </w:r>
    </w:p>
    <w:p>
      <w:pPr>
        <w:spacing w:line="400" w:lineRule="exact"/>
        <w:rPr>
          <w:rFonts w:ascii="宋体" w:hAnsi="宋体"/>
          <w:color w:val="auto"/>
          <w:szCs w:val="21"/>
          <w:highlight w:val="none"/>
          <w:u w:val="single"/>
        </w:rPr>
      </w:pPr>
      <w:r>
        <w:rPr>
          <w:rFonts w:ascii="宋体" w:hAnsi="宋体"/>
          <w:color w:val="auto"/>
          <w:szCs w:val="21"/>
          <w:highlight w:val="none"/>
        </w:rPr>
        <w:t>电    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传    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400" w:lineRule="exact"/>
        <w:rPr>
          <w:rFonts w:hint="eastAsia" w:ascii="宋体" w:hAnsi="宋体"/>
          <w:color w:val="auto"/>
          <w:szCs w:val="21"/>
          <w:highlight w:val="none"/>
          <w:u w:val="single"/>
        </w:rPr>
      </w:pPr>
      <w:r>
        <w:rPr>
          <w:rFonts w:ascii="宋体" w:hAnsi="宋体"/>
          <w:color w:val="auto"/>
          <w:szCs w:val="21"/>
          <w:highlight w:val="none"/>
        </w:rPr>
        <w:t>地</w:t>
      </w:r>
      <w:r>
        <w:rPr>
          <w:rFonts w:hint="eastAsia" w:ascii="宋体" w:hAnsi="宋体"/>
          <w:color w:val="auto"/>
          <w:szCs w:val="21"/>
          <w:highlight w:val="none"/>
        </w:rPr>
        <w:t xml:space="preserve">    </w:t>
      </w:r>
      <w:r>
        <w:rPr>
          <w:rFonts w:ascii="宋体" w:hAnsi="宋体"/>
          <w:color w:val="auto"/>
          <w:szCs w:val="21"/>
          <w:highlight w:val="none"/>
        </w:rPr>
        <w:t>址：</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邮政编码：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400" w:lineRule="exact"/>
        <w:rPr>
          <w:rFonts w:hint="eastAsia" w:ascii="宋体" w:hAnsi="宋体"/>
          <w:color w:val="auto"/>
          <w:szCs w:val="21"/>
          <w:highlight w:val="none"/>
        </w:rPr>
      </w:pPr>
      <w:r>
        <w:rPr>
          <w:rFonts w:hint="eastAsia" w:ascii="宋体" w:hAnsi="宋体"/>
          <w:color w:val="auto"/>
          <w:highlight w:val="none"/>
        </w:rPr>
        <w:t>日    期：</w:t>
      </w:r>
      <w:r>
        <w:rPr>
          <w:rFonts w:hint="eastAsia" w:ascii="宋体" w:hAnsi="宋体"/>
          <w:color w:val="auto"/>
          <w:szCs w:val="21"/>
          <w:highlight w:val="none"/>
          <w:u w:val="singl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rPr>
        <w:t>日</w:t>
      </w:r>
    </w:p>
    <w:p>
      <w:pPr>
        <w:rPr>
          <w:rFonts w:hint="eastAsia" w:ascii="宋体" w:hAnsi="宋体"/>
          <w:color w:val="auto"/>
          <w:sz w:val="32"/>
          <w:szCs w:val="32"/>
          <w:highlight w:val="none"/>
        </w:rPr>
      </w:pPr>
      <w:r>
        <w:rPr>
          <w:rFonts w:ascii="宋体" w:hAnsi="宋体"/>
          <w:color w:val="auto"/>
          <w:szCs w:val="21"/>
          <w:highlight w:val="none"/>
        </w:rPr>
        <w:br w:type="page"/>
      </w:r>
      <w:r>
        <w:rPr>
          <w:rFonts w:hint="eastAsia" w:ascii="宋体" w:hAnsi="宋体"/>
          <w:color w:val="auto"/>
          <w:szCs w:val="21"/>
          <w:highlight w:val="none"/>
        </w:rPr>
        <w:t>附件2、</w:t>
      </w:r>
    </w:p>
    <w:p>
      <w:pPr>
        <w:spacing w:before="312" w:beforeLines="100" w:line="380" w:lineRule="exact"/>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货物说明一览表</w:t>
      </w:r>
    </w:p>
    <w:p>
      <w:pPr>
        <w:spacing w:before="312" w:beforeLines="100" w:line="380" w:lineRule="exact"/>
        <w:jc w:val="center"/>
        <w:rPr>
          <w:rFonts w:hint="eastAsia" w:ascii="宋体" w:hAnsi="宋体"/>
          <w:color w:val="auto"/>
          <w:szCs w:val="21"/>
          <w:highlight w:val="none"/>
        </w:rPr>
      </w:pPr>
      <w:r>
        <w:rPr>
          <w:rFonts w:hint="eastAsia" w:ascii="宋体" w:hAnsi="宋体"/>
          <w:color w:val="auto"/>
          <w:szCs w:val="21"/>
          <w:highlight w:val="none"/>
        </w:rPr>
        <w:t xml:space="preserve"> （按投标货物合同包/品目号分别填写）</w:t>
      </w:r>
    </w:p>
    <w:p>
      <w:pPr>
        <w:spacing w:line="380" w:lineRule="exact"/>
        <w:rPr>
          <w:rFonts w:hint="eastAsia" w:ascii="宋体" w:hAnsi="宋体"/>
          <w:color w:val="auto"/>
          <w:szCs w:val="21"/>
          <w:highlight w:val="none"/>
        </w:rPr>
      </w:pPr>
    </w:p>
    <w:p>
      <w:pPr>
        <w:spacing w:line="380" w:lineRule="exact"/>
        <w:ind w:firstLine="315" w:firstLineChars="150"/>
        <w:rPr>
          <w:rFonts w:hint="eastAsia" w:ascii="宋体" w:hAnsi="宋体"/>
          <w:color w:val="auto"/>
          <w:szCs w:val="21"/>
          <w:highlight w:val="none"/>
        </w:rPr>
      </w:pPr>
      <w:r>
        <w:rPr>
          <w:rFonts w:hint="eastAsia" w:ascii="宋体" w:hAnsi="宋体"/>
          <w:color w:val="auto"/>
          <w:szCs w:val="21"/>
          <w:highlight w:val="none"/>
        </w:rPr>
        <w:t>投标人（全称并加盖公章）：</w:t>
      </w:r>
      <w:r>
        <w:rPr>
          <w:rFonts w:hint="eastAsia" w:ascii="宋体" w:hAnsi="宋体"/>
          <w:color w:val="auto"/>
          <w:szCs w:val="21"/>
          <w:highlight w:val="none"/>
          <w:u w:val="single"/>
        </w:rPr>
        <w:t xml:space="preserve">                     </w:t>
      </w:r>
      <w:r>
        <w:rPr>
          <w:rFonts w:hint="eastAsia" w:ascii="宋体" w:hAnsi="宋体"/>
          <w:color w:val="auto"/>
          <w:highlight w:val="none"/>
        </w:rPr>
        <w:t xml:space="preserve">    项目编号：</w:t>
      </w:r>
      <w:r>
        <w:rPr>
          <w:rFonts w:hint="eastAsia" w:ascii="宋体" w:hAnsi="宋体"/>
          <w:color w:val="auto"/>
          <w:szCs w:val="21"/>
          <w:highlight w:val="none"/>
          <w:u w:val="single"/>
        </w:rPr>
        <w:t xml:space="preserve">                     </w:t>
      </w:r>
    </w:p>
    <w:tbl>
      <w:tblPr>
        <w:tblStyle w:val="14"/>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967"/>
        <w:gridCol w:w="1155"/>
        <w:gridCol w:w="2205"/>
        <w:gridCol w:w="147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9" w:hRule="atLeast"/>
        </w:trPr>
        <w:tc>
          <w:tcPr>
            <w:tcW w:w="923" w:type="dxa"/>
            <w:noWrap w:val="0"/>
            <w:vAlign w:val="center"/>
          </w:tcPr>
          <w:p>
            <w:pPr>
              <w:spacing w:line="380" w:lineRule="exact"/>
              <w:rPr>
                <w:rFonts w:hint="eastAsia" w:ascii="宋体" w:hAnsi="宋体"/>
                <w:color w:val="auto"/>
                <w:szCs w:val="21"/>
                <w:highlight w:val="none"/>
              </w:rPr>
            </w:pPr>
            <w:r>
              <w:rPr>
                <w:rFonts w:hint="eastAsia" w:ascii="宋体" w:hAnsi="宋体"/>
                <w:color w:val="auto"/>
                <w:szCs w:val="21"/>
                <w:highlight w:val="none"/>
              </w:rPr>
              <w:t>合同包号/品目号</w:t>
            </w:r>
          </w:p>
        </w:tc>
        <w:tc>
          <w:tcPr>
            <w:tcW w:w="967" w:type="dxa"/>
            <w:noWrap w:val="0"/>
            <w:vAlign w:val="center"/>
          </w:tcPr>
          <w:p>
            <w:pPr>
              <w:spacing w:line="380" w:lineRule="exact"/>
              <w:rPr>
                <w:rFonts w:hint="eastAsia" w:ascii="宋体" w:hAnsi="宋体"/>
                <w:color w:val="auto"/>
                <w:szCs w:val="21"/>
                <w:highlight w:val="none"/>
              </w:rPr>
            </w:pPr>
          </w:p>
        </w:tc>
        <w:tc>
          <w:tcPr>
            <w:tcW w:w="1155" w:type="dxa"/>
            <w:noWrap w:val="0"/>
            <w:vAlign w:val="center"/>
          </w:tcPr>
          <w:p>
            <w:pPr>
              <w:spacing w:line="380" w:lineRule="exact"/>
              <w:rPr>
                <w:rFonts w:hint="eastAsia" w:ascii="宋体" w:hAnsi="宋体"/>
                <w:color w:val="auto"/>
                <w:szCs w:val="21"/>
                <w:highlight w:val="none"/>
              </w:rPr>
            </w:pPr>
            <w:r>
              <w:rPr>
                <w:rFonts w:hint="eastAsia" w:ascii="宋体" w:hAnsi="宋体"/>
                <w:color w:val="auto"/>
                <w:szCs w:val="21"/>
                <w:highlight w:val="none"/>
              </w:rPr>
              <w:t>货物名称</w:t>
            </w:r>
          </w:p>
        </w:tc>
        <w:tc>
          <w:tcPr>
            <w:tcW w:w="2205" w:type="dxa"/>
            <w:noWrap w:val="0"/>
            <w:vAlign w:val="center"/>
          </w:tcPr>
          <w:p>
            <w:pPr>
              <w:spacing w:line="380" w:lineRule="exact"/>
              <w:rPr>
                <w:rFonts w:hint="eastAsia" w:ascii="宋体" w:hAnsi="宋体"/>
                <w:color w:val="auto"/>
                <w:szCs w:val="21"/>
                <w:highlight w:val="none"/>
              </w:rPr>
            </w:pPr>
          </w:p>
        </w:tc>
        <w:tc>
          <w:tcPr>
            <w:tcW w:w="1470" w:type="dxa"/>
            <w:noWrap w:val="0"/>
            <w:vAlign w:val="center"/>
          </w:tcPr>
          <w:p>
            <w:pPr>
              <w:spacing w:line="380" w:lineRule="exact"/>
              <w:rPr>
                <w:rFonts w:hint="eastAsia" w:ascii="宋体" w:hAnsi="宋体"/>
                <w:color w:val="auto"/>
                <w:szCs w:val="21"/>
                <w:highlight w:val="none"/>
              </w:rPr>
            </w:pPr>
            <w:r>
              <w:rPr>
                <w:rFonts w:hint="eastAsia" w:ascii="宋体" w:hAnsi="宋体"/>
                <w:color w:val="auto"/>
                <w:szCs w:val="21"/>
                <w:highlight w:val="none"/>
              </w:rPr>
              <w:t>制造商、国籍</w:t>
            </w:r>
          </w:p>
        </w:tc>
        <w:tc>
          <w:tcPr>
            <w:tcW w:w="1995" w:type="dxa"/>
            <w:noWrap w:val="0"/>
            <w:vAlign w:val="center"/>
          </w:tcPr>
          <w:p>
            <w:pPr>
              <w:spacing w:line="38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9" w:hRule="atLeast"/>
        </w:trPr>
        <w:tc>
          <w:tcPr>
            <w:tcW w:w="923" w:type="dxa"/>
            <w:noWrap w:val="0"/>
            <w:vAlign w:val="center"/>
          </w:tcPr>
          <w:p>
            <w:pPr>
              <w:spacing w:line="380" w:lineRule="exact"/>
              <w:rPr>
                <w:rFonts w:hint="eastAsia" w:ascii="宋体" w:hAnsi="宋体"/>
                <w:color w:val="auto"/>
                <w:szCs w:val="21"/>
                <w:highlight w:val="none"/>
              </w:rPr>
            </w:pPr>
            <w:r>
              <w:rPr>
                <w:rFonts w:hint="eastAsia" w:ascii="宋体" w:hAnsi="宋体"/>
                <w:color w:val="auto"/>
                <w:szCs w:val="21"/>
                <w:highlight w:val="none"/>
              </w:rPr>
              <w:t>数量</w:t>
            </w:r>
          </w:p>
        </w:tc>
        <w:tc>
          <w:tcPr>
            <w:tcW w:w="967" w:type="dxa"/>
            <w:noWrap w:val="0"/>
            <w:vAlign w:val="center"/>
          </w:tcPr>
          <w:p>
            <w:pPr>
              <w:spacing w:line="380" w:lineRule="exact"/>
              <w:rPr>
                <w:rFonts w:hint="eastAsia" w:ascii="宋体" w:hAnsi="宋体"/>
                <w:color w:val="auto"/>
                <w:szCs w:val="21"/>
                <w:highlight w:val="none"/>
              </w:rPr>
            </w:pPr>
          </w:p>
        </w:tc>
        <w:tc>
          <w:tcPr>
            <w:tcW w:w="1155" w:type="dxa"/>
            <w:noWrap w:val="0"/>
            <w:vAlign w:val="center"/>
          </w:tcPr>
          <w:p>
            <w:pPr>
              <w:spacing w:line="380" w:lineRule="exact"/>
              <w:rPr>
                <w:rFonts w:hint="eastAsia" w:ascii="宋体" w:hAnsi="宋体"/>
                <w:color w:val="auto"/>
                <w:szCs w:val="21"/>
                <w:highlight w:val="none"/>
              </w:rPr>
            </w:pPr>
            <w:r>
              <w:rPr>
                <w:rFonts w:hint="eastAsia" w:ascii="宋体" w:hAnsi="宋体"/>
                <w:color w:val="auto"/>
                <w:szCs w:val="21"/>
                <w:highlight w:val="none"/>
              </w:rPr>
              <w:t>品牌、型号规格</w:t>
            </w:r>
          </w:p>
        </w:tc>
        <w:tc>
          <w:tcPr>
            <w:tcW w:w="2205" w:type="dxa"/>
            <w:noWrap w:val="0"/>
            <w:vAlign w:val="center"/>
          </w:tcPr>
          <w:p>
            <w:pPr>
              <w:spacing w:line="380" w:lineRule="exact"/>
              <w:rPr>
                <w:rFonts w:hint="eastAsia" w:ascii="宋体" w:hAnsi="宋体"/>
                <w:color w:val="auto"/>
                <w:szCs w:val="21"/>
                <w:highlight w:val="none"/>
              </w:rPr>
            </w:pPr>
          </w:p>
        </w:tc>
        <w:tc>
          <w:tcPr>
            <w:tcW w:w="1470" w:type="dxa"/>
            <w:noWrap w:val="0"/>
            <w:vAlign w:val="center"/>
          </w:tcPr>
          <w:p>
            <w:pPr>
              <w:spacing w:line="380" w:lineRule="exact"/>
              <w:rPr>
                <w:rFonts w:hint="eastAsia" w:ascii="宋体" w:hAnsi="宋体"/>
                <w:color w:val="auto"/>
                <w:szCs w:val="21"/>
                <w:highlight w:val="none"/>
              </w:rPr>
            </w:pPr>
            <w:r>
              <w:rPr>
                <w:rFonts w:hint="eastAsia" w:ascii="宋体" w:hAnsi="宋体"/>
                <w:color w:val="auto"/>
                <w:szCs w:val="21"/>
                <w:highlight w:val="none"/>
              </w:rPr>
              <w:t>原产地</w:t>
            </w:r>
          </w:p>
        </w:tc>
        <w:tc>
          <w:tcPr>
            <w:tcW w:w="1995" w:type="dxa"/>
            <w:noWrap w:val="0"/>
            <w:vAlign w:val="center"/>
          </w:tcPr>
          <w:p>
            <w:pPr>
              <w:spacing w:line="38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38" w:hRule="atLeast"/>
        </w:trPr>
        <w:tc>
          <w:tcPr>
            <w:tcW w:w="8715" w:type="dxa"/>
            <w:gridSpan w:val="6"/>
            <w:noWrap w:val="0"/>
            <w:vAlign w:val="top"/>
          </w:tcPr>
          <w:p>
            <w:pPr>
              <w:spacing w:line="380" w:lineRule="exact"/>
              <w:rPr>
                <w:rFonts w:hint="eastAsia" w:ascii="宋体" w:hAnsi="宋体"/>
                <w:color w:val="auto"/>
                <w:szCs w:val="21"/>
                <w:highlight w:val="none"/>
              </w:rPr>
            </w:pPr>
            <w:r>
              <w:rPr>
                <w:rFonts w:hint="eastAsia" w:ascii="宋体" w:hAnsi="宋体"/>
                <w:color w:val="auto"/>
                <w:szCs w:val="21"/>
                <w:highlight w:val="none"/>
              </w:rPr>
              <w:t>详细性能说明</w:t>
            </w:r>
          </w:p>
        </w:tc>
      </w:tr>
    </w:tbl>
    <w:p>
      <w:pPr>
        <w:spacing w:line="380" w:lineRule="exact"/>
        <w:rPr>
          <w:rFonts w:hint="eastAsia" w:ascii="宋体" w:hAnsi="宋体"/>
          <w:color w:val="auto"/>
          <w:szCs w:val="21"/>
          <w:highlight w:val="none"/>
        </w:rPr>
      </w:pPr>
    </w:p>
    <w:p>
      <w:pPr>
        <w:spacing w:line="380" w:lineRule="exact"/>
        <w:ind w:firstLine="210" w:firstLineChars="100"/>
        <w:jc w:val="left"/>
        <w:rPr>
          <w:rFonts w:hint="eastAsia" w:ascii="宋体" w:hAnsi="宋体"/>
          <w:color w:val="auto"/>
          <w:szCs w:val="21"/>
          <w:highlight w:val="none"/>
          <w:u w:val="single"/>
        </w:rPr>
      </w:pPr>
      <w:r>
        <w:rPr>
          <w:rFonts w:hint="eastAsia" w:ascii="宋体" w:hAnsi="宋体"/>
          <w:color w:val="auto"/>
          <w:szCs w:val="21"/>
          <w:highlight w:val="none"/>
        </w:rPr>
        <w:t>投标人代表签字:</w:t>
      </w:r>
      <w:r>
        <w:rPr>
          <w:rFonts w:hint="eastAsia" w:ascii="宋体" w:hAnsi="宋体"/>
          <w:color w:val="auto"/>
          <w:szCs w:val="21"/>
          <w:highlight w:val="none"/>
          <w:u w:val="single"/>
        </w:rPr>
        <w:t xml:space="preserve">            </w:t>
      </w:r>
    </w:p>
    <w:p>
      <w:pPr>
        <w:rPr>
          <w:rFonts w:hint="eastAsia" w:ascii="宋体" w:hAnsi="宋体"/>
          <w:b/>
          <w:color w:val="auto"/>
          <w:sz w:val="36"/>
          <w:highlight w:val="none"/>
        </w:rPr>
        <w:sectPr>
          <w:footerReference r:id="rId3" w:type="default"/>
          <w:pgSz w:w="11907" w:h="16840"/>
          <w:pgMar w:top="1440" w:right="1026" w:bottom="1440" w:left="1026" w:header="851" w:footer="992" w:gutter="0"/>
          <w:pgNumType w:fmt="decimal" w:start="2"/>
          <w:cols w:space="720" w:num="1"/>
          <w:docGrid w:linePitch="323" w:charSpace="-2"/>
        </w:sectPr>
      </w:pPr>
    </w:p>
    <w:p>
      <w:pPr>
        <w:rPr>
          <w:rFonts w:hint="eastAsia" w:ascii="宋体" w:hAnsi="宋体"/>
          <w:color w:val="auto"/>
          <w:szCs w:val="21"/>
          <w:highlight w:val="none"/>
        </w:rPr>
      </w:pPr>
      <w:r>
        <w:rPr>
          <w:rFonts w:hint="eastAsia" w:ascii="宋体" w:hAnsi="宋体"/>
          <w:color w:val="auto"/>
          <w:szCs w:val="21"/>
          <w:highlight w:val="none"/>
        </w:rPr>
        <w:t>附件3、</w:t>
      </w:r>
    </w:p>
    <w:p>
      <w:pPr>
        <w:pStyle w:val="22"/>
        <w:jc w:val="center"/>
        <w:rPr>
          <w:rFonts w:hAnsi="宋体"/>
          <w:color w:val="auto"/>
          <w:sz w:val="32"/>
          <w:szCs w:val="32"/>
          <w:highlight w:val="none"/>
        </w:rPr>
      </w:pPr>
      <w:bookmarkStart w:id="6" w:name="_Toc20569"/>
      <w:bookmarkStart w:id="7" w:name="_Toc12146"/>
      <w:bookmarkStart w:id="8" w:name="_Toc14630"/>
      <w:r>
        <w:rPr>
          <w:rFonts w:hAnsi="宋体"/>
          <w:b/>
          <w:color w:val="auto"/>
          <w:sz w:val="32"/>
          <w:szCs w:val="32"/>
          <w:highlight w:val="none"/>
        </w:rPr>
        <w:t>供货范围清单</w:t>
      </w:r>
      <w:bookmarkEnd w:id="6"/>
      <w:bookmarkEnd w:id="7"/>
      <w:bookmarkEnd w:id="8"/>
    </w:p>
    <w:p>
      <w:pPr>
        <w:pStyle w:val="22"/>
        <w:jc w:val="left"/>
        <w:outlineLvl w:val="9"/>
        <w:rPr>
          <w:rFonts w:hAnsi="宋体"/>
          <w:color w:val="auto"/>
          <w:highlight w:val="none"/>
        </w:rPr>
      </w:pPr>
    </w:p>
    <w:p>
      <w:pPr>
        <w:spacing w:line="380" w:lineRule="exact"/>
        <w:jc w:val="center"/>
        <w:rPr>
          <w:rFonts w:hint="eastAsia" w:ascii="宋体" w:hAnsi="宋体"/>
          <w:b/>
          <w:color w:val="auto"/>
          <w:sz w:val="30"/>
          <w:szCs w:val="30"/>
          <w:highlight w:val="none"/>
        </w:rPr>
      </w:pPr>
      <w:r>
        <w:rPr>
          <w:rFonts w:ascii="宋体" w:hAnsi="宋体"/>
          <w:color w:val="auto"/>
          <w:szCs w:val="21"/>
          <w:highlight w:val="none"/>
        </w:rPr>
        <w:tab/>
      </w:r>
      <w:r>
        <w:rPr>
          <w:rFonts w:hint="eastAsia" w:ascii="宋体" w:hAnsi="宋体"/>
          <w:b/>
          <w:color w:val="auto"/>
          <w:sz w:val="30"/>
          <w:szCs w:val="30"/>
          <w:highlight w:val="none"/>
        </w:rPr>
        <w:t>表3-1、主要设备清单 （不含价格）</w:t>
      </w:r>
    </w:p>
    <w:p>
      <w:pPr>
        <w:spacing w:line="380" w:lineRule="exact"/>
        <w:jc w:val="center"/>
        <w:rPr>
          <w:rFonts w:hint="eastAsia" w:ascii="宋体" w:hAnsi="宋体"/>
          <w:b/>
          <w:color w:val="auto"/>
          <w:sz w:val="30"/>
          <w:szCs w:val="30"/>
          <w:highlight w:val="none"/>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73"/>
        <w:gridCol w:w="525"/>
        <w:gridCol w:w="1785"/>
        <w:gridCol w:w="1575"/>
        <w:gridCol w:w="1575"/>
        <w:gridCol w:w="1050"/>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trPr>
        <w:tc>
          <w:tcPr>
            <w:tcW w:w="973" w:type="dxa"/>
            <w:noWrap w:val="0"/>
            <w:vAlign w:val="center"/>
          </w:tcPr>
          <w:p>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合同包/品目号</w:t>
            </w:r>
          </w:p>
        </w:tc>
        <w:tc>
          <w:tcPr>
            <w:tcW w:w="525" w:type="dxa"/>
            <w:noWrap w:val="0"/>
            <w:vAlign w:val="center"/>
          </w:tcPr>
          <w:p>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1785" w:type="dxa"/>
            <w:noWrap w:val="0"/>
            <w:vAlign w:val="center"/>
          </w:tcPr>
          <w:p>
            <w:pPr>
              <w:spacing w:line="380" w:lineRule="exact"/>
              <w:jc w:val="center"/>
              <w:rPr>
                <w:rFonts w:ascii="宋体" w:hAnsi="宋体"/>
                <w:b/>
                <w:color w:val="auto"/>
                <w:szCs w:val="21"/>
                <w:highlight w:val="none"/>
              </w:rPr>
            </w:pPr>
            <w:r>
              <w:rPr>
                <w:rFonts w:hint="eastAsia" w:ascii="宋体" w:hAnsi="宋体"/>
                <w:b/>
                <w:color w:val="auto"/>
                <w:szCs w:val="21"/>
                <w:highlight w:val="none"/>
              </w:rPr>
              <w:t>货物名称</w:t>
            </w:r>
          </w:p>
        </w:tc>
        <w:tc>
          <w:tcPr>
            <w:tcW w:w="1575" w:type="dxa"/>
            <w:noWrap w:val="0"/>
            <w:vAlign w:val="center"/>
          </w:tcPr>
          <w:p>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品牌、型号</w:t>
            </w:r>
          </w:p>
        </w:tc>
        <w:tc>
          <w:tcPr>
            <w:tcW w:w="1575" w:type="dxa"/>
            <w:noWrap w:val="0"/>
            <w:vAlign w:val="center"/>
          </w:tcPr>
          <w:p>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产地</w:t>
            </w:r>
          </w:p>
        </w:tc>
        <w:tc>
          <w:tcPr>
            <w:tcW w:w="1050" w:type="dxa"/>
            <w:noWrap w:val="0"/>
            <w:vAlign w:val="center"/>
          </w:tcPr>
          <w:p>
            <w:pPr>
              <w:spacing w:line="380" w:lineRule="exact"/>
              <w:jc w:val="center"/>
              <w:rPr>
                <w:rFonts w:ascii="宋体" w:hAnsi="宋体"/>
                <w:b/>
                <w:color w:val="auto"/>
                <w:szCs w:val="21"/>
                <w:highlight w:val="none"/>
              </w:rPr>
            </w:pPr>
            <w:r>
              <w:rPr>
                <w:rFonts w:hint="eastAsia" w:ascii="宋体" w:hAnsi="宋体"/>
                <w:b/>
                <w:color w:val="auto"/>
                <w:szCs w:val="21"/>
                <w:highlight w:val="none"/>
              </w:rPr>
              <w:t>数量</w:t>
            </w:r>
          </w:p>
        </w:tc>
        <w:tc>
          <w:tcPr>
            <w:tcW w:w="1155" w:type="dxa"/>
            <w:noWrap w:val="0"/>
            <w:vAlign w:val="center"/>
          </w:tcPr>
          <w:p>
            <w:pPr>
              <w:spacing w:line="380" w:lineRule="exact"/>
              <w:jc w:val="center"/>
              <w:rPr>
                <w:rFonts w:ascii="宋体" w:hAnsi="宋体"/>
                <w:b/>
                <w:color w:val="auto"/>
                <w:szCs w:val="21"/>
                <w:highlight w:val="none"/>
              </w:rPr>
            </w:pPr>
            <w:r>
              <w:rPr>
                <w:rFonts w:hint="eastAsia" w:ascii="宋体" w:hAnsi="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trPr>
        <w:tc>
          <w:tcPr>
            <w:tcW w:w="973" w:type="dxa"/>
            <w:noWrap w:val="0"/>
            <w:vAlign w:val="center"/>
          </w:tcPr>
          <w:p>
            <w:pPr>
              <w:spacing w:line="320" w:lineRule="exact"/>
              <w:rPr>
                <w:rFonts w:ascii="宋体" w:hAnsi="宋体"/>
                <w:color w:val="auto"/>
                <w:szCs w:val="21"/>
                <w:highlight w:val="none"/>
              </w:rPr>
            </w:pPr>
            <w:r>
              <w:rPr>
                <w:rFonts w:hint="eastAsia" w:ascii="宋体" w:hAnsi="宋体"/>
                <w:b/>
                <w:color w:val="auto"/>
                <w:highlight w:val="none"/>
              </w:rPr>
              <w:t xml:space="preserve"> </w:t>
            </w:r>
          </w:p>
        </w:tc>
        <w:tc>
          <w:tcPr>
            <w:tcW w:w="525" w:type="dxa"/>
            <w:noWrap w:val="0"/>
            <w:vAlign w:val="center"/>
          </w:tcPr>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1785" w:type="dxa"/>
            <w:noWrap w:val="0"/>
            <w:vAlign w:val="center"/>
          </w:tcPr>
          <w:p>
            <w:pPr>
              <w:spacing w:line="320" w:lineRule="exact"/>
              <w:rPr>
                <w:rFonts w:ascii="宋体" w:hAnsi="宋体"/>
                <w:color w:val="auto"/>
                <w:szCs w:val="21"/>
                <w:highlight w:val="none"/>
              </w:rPr>
            </w:pPr>
          </w:p>
        </w:tc>
        <w:tc>
          <w:tcPr>
            <w:tcW w:w="1575" w:type="dxa"/>
            <w:noWrap w:val="0"/>
            <w:vAlign w:val="center"/>
          </w:tcPr>
          <w:p>
            <w:pPr>
              <w:spacing w:line="320" w:lineRule="exact"/>
              <w:rPr>
                <w:rFonts w:ascii="宋体" w:hAnsi="宋体"/>
                <w:color w:val="auto"/>
                <w:szCs w:val="21"/>
                <w:highlight w:val="none"/>
              </w:rPr>
            </w:pPr>
          </w:p>
        </w:tc>
        <w:tc>
          <w:tcPr>
            <w:tcW w:w="1575" w:type="dxa"/>
            <w:noWrap w:val="0"/>
            <w:vAlign w:val="center"/>
          </w:tcPr>
          <w:p>
            <w:pPr>
              <w:spacing w:line="320" w:lineRule="exact"/>
              <w:rPr>
                <w:rFonts w:ascii="宋体" w:hAnsi="宋体"/>
                <w:color w:val="auto"/>
                <w:szCs w:val="21"/>
                <w:highlight w:val="none"/>
              </w:rPr>
            </w:pPr>
          </w:p>
        </w:tc>
        <w:tc>
          <w:tcPr>
            <w:tcW w:w="1050" w:type="dxa"/>
            <w:noWrap w:val="0"/>
            <w:vAlign w:val="center"/>
          </w:tcPr>
          <w:p>
            <w:pPr>
              <w:spacing w:line="320" w:lineRule="exact"/>
              <w:rPr>
                <w:rFonts w:ascii="宋体" w:hAnsi="宋体"/>
                <w:color w:val="auto"/>
                <w:szCs w:val="21"/>
                <w:highlight w:val="none"/>
              </w:rPr>
            </w:pPr>
          </w:p>
        </w:tc>
        <w:tc>
          <w:tcPr>
            <w:tcW w:w="1155" w:type="dxa"/>
            <w:noWrap w:val="0"/>
            <w:vAlign w:val="center"/>
          </w:tcPr>
          <w:p>
            <w:pPr>
              <w:spacing w:line="32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trPr>
        <w:tc>
          <w:tcPr>
            <w:tcW w:w="973" w:type="dxa"/>
            <w:noWrap w:val="0"/>
            <w:vAlign w:val="center"/>
          </w:tcPr>
          <w:p>
            <w:pPr>
              <w:spacing w:line="320" w:lineRule="exact"/>
              <w:rPr>
                <w:rFonts w:ascii="宋体" w:hAnsi="宋体"/>
                <w:color w:val="auto"/>
                <w:szCs w:val="21"/>
                <w:highlight w:val="none"/>
              </w:rPr>
            </w:pPr>
            <w:r>
              <w:rPr>
                <w:rFonts w:hint="eastAsia" w:ascii="宋体" w:hAnsi="宋体"/>
                <w:b/>
                <w:color w:val="auto"/>
                <w:highlight w:val="none"/>
              </w:rPr>
              <w:t xml:space="preserve"> </w:t>
            </w:r>
          </w:p>
        </w:tc>
        <w:tc>
          <w:tcPr>
            <w:tcW w:w="525" w:type="dxa"/>
            <w:noWrap w:val="0"/>
            <w:vAlign w:val="center"/>
          </w:tcPr>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1785" w:type="dxa"/>
            <w:noWrap w:val="0"/>
            <w:vAlign w:val="center"/>
          </w:tcPr>
          <w:p>
            <w:pPr>
              <w:spacing w:line="320" w:lineRule="exact"/>
              <w:rPr>
                <w:rFonts w:ascii="宋体" w:hAnsi="宋体"/>
                <w:color w:val="auto"/>
                <w:szCs w:val="21"/>
                <w:highlight w:val="none"/>
              </w:rPr>
            </w:pPr>
          </w:p>
        </w:tc>
        <w:tc>
          <w:tcPr>
            <w:tcW w:w="1575" w:type="dxa"/>
            <w:noWrap w:val="0"/>
            <w:vAlign w:val="center"/>
          </w:tcPr>
          <w:p>
            <w:pPr>
              <w:spacing w:line="320" w:lineRule="exact"/>
              <w:rPr>
                <w:rFonts w:ascii="宋体" w:hAnsi="宋体"/>
                <w:color w:val="auto"/>
                <w:szCs w:val="21"/>
                <w:highlight w:val="none"/>
              </w:rPr>
            </w:pPr>
          </w:p>
        </w:tc>
        <w:tc>
          <w:tcPr>
            <w:tcW w:w="1575" w:type="dxa"/>
            <w:noWrap w:val="0"/>
            <w:vAlign w:val="center"/>
          </w:tcPr>
          <w:p>
            <w:pPr>
              <w:spacing w:line="320" w:lineRule="exact"/>
              <w:rPr>
                <w:rFonts w:ascii="宋体" w:hAnsi="宋体"/>
                <w:color w:val="auto"/>
                <w:szCs w:val="21"/>
                <w:highlight w:val="none"/>
              </w:rPr>
            </w:pPr>
          </w:p>
        </w:tc>
        <w:tc>
          <w:tcPr>
            <w:tcW w:w="1050" w:type="dxa"/>
            <w:noWrap w:val="0"/>
            <w:vAlign w:val="center"/>
          </w:tcPr>
          <w:p>
            <w:pPr>
              <w:spacing w:line="320" w:lineRule="exact"/>
              <w:rPr>
                <w:rFonts w:ascii="宋体" w:hAnsi="宋体"/>
                <w:color w:val="auto"/>
                <w:szCs w:val="21"/>
                <w:highlight w:val="none"/>
              </w:rPr>
            </w:pPr>
          </w:p>
        </w:tc>
        <w:tc>
          <w:tcPr>
            <w:tcW w:w="1155" w:type="dxa"/>
            <w:noWrap w:val="0"/>
            <w:vAlign w:val="center"/>
          </w:tcPr>
          <w:p>
            <w:pPr>
              <w:spacing w:line="32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trPr>
        <w:tc>
          <w:tcPr>
            <w:tcW w:w="973" w:type="dxa"/>
            <w:noWrap w:val="0"/>
            <w:vAlign w:val="center"/>
          </w:tcPr>
          <w:p>
            <w:pPr>
              <w:spacing w:line="320" w:lineRule="exact"/>
              <w:rPr>
                <w:rFonts w:hint="eastAsia" w:ascii="宋体" w:hAnsi="宋体"/>
                <w:b/>
                <w:color w:val="auto"/>
                <w:highlight w:val="none"/>
              </w:rPr>
            </w:pPr>
          </w:p>
        </w:tc>
        <w:tc>
          <w:tcPr>
            <w:tcW w:w="525" w:type="dxa"/>
            <w:noWrap w:val="0"/>
            <w:vAlign w:val="center"/>
          </w:tcPr>
          <w:p>
            <w:pPr>
              <w:spacing w:line="320" w:lineRule="exact"/>
              <w:jc w:val="center"/>
              <w:rPr>
                <w:rFonts w:hint="eastAsia" w:ascii="宋体" w:hAnsi="宋体"/>
                <w:color w:val="auto"/>
                <w:szCs w:val="21"/>
                <w:highlight w:val="none"/>
              </w:rPr>
            </w:pPr>
          </w:p>
        </w:tc>
        <w:tc>
          <w:tcPr>
            <w:tcW w:w="1785" w:type="dxa"/>
            <w:noWrap w:val="0"/>
            <w:vAlign w:val="center"/>
          </w:tcPr>
          <w:p>
            <w:pPr>
              <w:spacing w:line="320" w:lineRule="exact"/>
              <w:rPr>
                <w:rFonts w:ascii="宋体" w:hAnsi="宋体"/>
                <w:color w:val="auto"/>
                <w:szCs w:val="21"/>
                <w:highlight w:val="none"/>
              </w:rPr>
            </w:pPr>
          </w:p>
        </w:tc>
        <w:tc>
          <w:tcPr>
            <w:tcW w:w="1575" w:type="dxa"/>
            <w:noWrap w:val="0"/>
            <w:vAlign w:val="center"/>
          </w:tcPr>
          <w:p>
            <w:pPr>
              <w:spacing w:line="320" w:lineRule="exact"/>
              <w:rPr>
                <w:rFonts w:ascii="宋体" w:hAnsi="宋体"/>
                <w:color w:val="auto"/>
                <w:szCs w:val="21"/>
                <w:highlight w:val="none"/>
              </w:rPr>
            </w:pPr>
          </w:p>
        </w:tc>
        <w:tc>
          <w:tcPr>
            <w:tcW w:w="1575" w:type="dxa"/>
            <w:noWrap w:val="0"/>
            <w:vAlign w:val="center"/>
          </w:tcPr>
          <w:p>
            <w:pPr>
              <w:spacing w:line="320" w:lineRule="exact"/>
              <w:rPr>
                <w:rFonts w:ascii="宋体" w:hAnsi="宋体"/>
                <w:color w:val="auto"/>
                <w:szCs w:val="21"/>
                <w:highlight w:val="none"/>
              </w:rPr>
            </w:pPr>
          </w:p>
        </w:tc>
        <w:tc>
          <w:tcPr>
            <w:tcW w:w="1050" w:type="dxa"/>
            <w:noWrap w:val="0"/>
            <w:vAlign w:val="center"/>
          </w:tcPr>
          <w:p>
            <w:pPr>
              <w:spacing w:line="320" w:lineRule="exact"/>
              <w:rPr>
                <w:rFonts w:ascii="宋体" w:hAnsi="宋体"/>
                <w:color w:val="auto"/>
                <w:szCs w:val="21"/>
                <w:highlight w:val="none"/>
              </w:rPr>
            </w:pPr>
          </w:p>
        </w:tc>
        <w:tc>
          <w:tcPr>
            <w:tcW w:w="1155" w:type="dxa"/>
            <w:noWrap w:val="0"/>
            <w:vAlign w:val="center"/>
          </w:tcPr>
          <w:p>
            <w:pPr>
              <w:spacing w:line="32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trPr>
        <w:tc>
          <w:tcPr>
            <w:tcW w:w="973" w:type="dxa"/>
            <w:noWrap w:val="0"/>
            <w:vAlign w:val="center"/>
          </w:tcPr>
          <w:p>
            <w:pPr>
              <w:spacing w:line="320" w:lineRule="exact"/>
              <w:rPr>
                <w:rFonts w:hint="eastAsia" w:ascii="宋体" w:hAnsi="宋体"/>
                <w:b/>
                <w:color w:val="auto"/>
                <w:highlight w:val="none"/>
              </w:rPr>
            </w:pPr>
          </w:p>
        </w:tc>
        <w:tc>
          <w:tcPr>
            <w:tcW w:w="525" w:type="dxa"/>
            <w:noWrap w:val="0"/>
            <w:vAlign w:val="center"/>
          </w:tcPr>
          <w:p>
            <w:pPr>
              <w:spacing w:line="320" w:lineRule="exact"/>
              <w:jc w:val="center"/>
              <w:rPr>
                <w:rFonts w:hint="eastAsia" w:ascii="宋体" w:hAnsi="宋体"/>
                <w:color w:val="auto"/>
                <w:szCs w:val="21"/>
                <w:highlight w:val="none"/>
              </w:rPr>
            </w:pPr>
          </w:p>
        </w:tc>
        <w:tc>
          <w:tcPr>
            <w:tcW w:w="1785" w:type="dxa"/>
            <w:noWrap w:val="0"/>
            <w:vAlign w:val="center"/>
          </w:tcPr>
          <w:p>
            <w:pPr>
              <w:spacing w:line="320" w:lineRule="exact"/>
              <w:rPr>
                <w:rFonts w:ascii="宋体" w:hAnsi="宋体"/>
                <w:color w:val="auto"/>
                <w:szCs w:val="21"/>
                <w:highlight w:val="none"/>
              </w:rPr>
            </w:pPr>
          </w:p>
        </w:tc>
        <w:tc>
          <w:tcPr>
            <w:tcW w:w="1575" w:type="dxa"/>
            <w:noWrap w:val="0"/>
            <w:vAlign w:val="center"/>
          </w:tcPr>
          <w:p>
            <w:pPr>
              <w:spacing w:line="320" w:lineRule="exact"/>
              <w:rPr>
                <w:rFonts w:ascii="宋体" w:hAnsi="宋体"/>
                <w:color w:val="auto"/>
                <w:szCs w:val="21"/>
                <w:highlight w:val="none"/>
              </w:rPr>
            </w:pPr>
          </w:p>
        </w:tc>
        <w:tc>
          <w:tcPr>
            <w:tcW w:w="1575" w:type="dxa"/>
            <w:noWrap w:val="0"/>
            <w:vAlign w:val="center"/>
          </w:tcPr>
          <w:p>
            <w:pPr>
              <w:spacing w:line="320" w:lineRule="exact"/>
              <w:rPr>
                <w:rFonts w:ascii="宋体" w:hAnsi="宋体"/>
                <w:color w:val="auto"/>
                <w:szCs w:val="21"/>
                <w:highlight w:val="none"/>
              </w:rPr>
            </w:pPr>
          </w:p>
        </w:tc>
        <w:tc>
          <w:tcPr>
            <w:tcW w:w="1050" w:type="dxa"/>
            <w:noWrap w:val="0"/>
            <w:vAlign w:val="center"/>
          </w:tcPr>
          <w:p>
            <w:pPr>
              <w:spacing w:line="320" w:lineRule="exact"/>
              <w:rPr>
                <w:rFonts w:ascii="宋体" w:hAnsi="宋体"/>
                <w:color w:val="auto"/>
                <w:szCs w:val="21"/>
                <w:highlight w:val="none"/>
              </w:rPr>
            </w:pPr>
          </w:p>
        </w:tc>
        <w:tc>
          <w:tcPr>
            <w:tcW w:w="1155" w:type="dxa"/>
            <w:noWrap w:val="0"/>
            <w:vAlign w:val="center"/>
          </w:tcPr>
          <w:p>
            <w:pPr>
              <w:spacing w:line="32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trPr>
        <w:tc>
          <w:tcPr>
            <w:tcW w:w="973" w:type="dxa"/>
            <w:noWrap w:val="0"/>
            <w:vAlign w:val="center"/>
          </w:tcPr>
          <w:p>
            <w:pPr>
              <w:spacing w:line="320" w:lineRule="exact"/>
              <w:rPr>
                <w:rFonts w:hint="eastAsia" w:ascii="宋体" w:hAnsi="宋体"/>
                <w:b/>
                <w:color w:val="auto"/>
                <w:highlight w:val="none"/>
              </w:rPr>
            </w:pPr>
          </w:p>
        </w:tc>
        <w:tc>
          <w:tcPr>
            <w:tcW w:w="525" w:type="dxa"/>
            <w:noWrap w:val="0"/>
            <w:vAlign w:val="center"/>
          </w:tcPr>
          <w:p>
            <w:pPr>
              <w:spacing w:line="320" w:lineRule="exact"/>
              <w:jc w:val="center"/>
              <w:rPr>
                <w:rFonts w:hint="eastAsia" w:ascii="宋体" w:hAnsi="宋体"/>
                <w:color w:val="auto"/>
                <w:szCs w:val="21"/>
                <w:highlight w:val="none"/>
              </w:rPr>
            </w:pPr>
          </w:p>
        </w:tc>
        <w:tc>
          <w:tcPr>
            <w:tcW w:w="1785" w:type="dxa"/>
            <w:noWrap w:val="0"/>
            <w:vAlign w:val="center"/>
          </w:tcPr>
          <w:p>
            <w:pPr>
              <w:spacing w:line="320" w:lineRule="exact"/>
              <w:rPr>
                <w:rFonts w:ascii="宋体" w:hAnsi="宋体"/>
                <w:color w:val="auto"/>
                <w:szCs w:val="21"/>
                <w:highlight w:val="none"/>
              </w:rPr>
            </w:pPr>
          </w:p>
        </w:tc>
        <w:tc>
          <w:tcPr>
            <w:tcW w:w="1575" w:type="dxa"/>
            <w:noWrap w:val="0"/>
            <w:vAlign w:val="center"/>
          </w:tcPr>
          <w:p>
            <w:pPr>
              <w:spacing w:line="320" w:lineRule="exact"/>
              <w:rPr>
                <w:rFonts w:ascii="宋体" w:hAnsi="宋体"/>
                <w:color w:val="auto"/>
                <w:szCs w:val="21"/>
                <w:highlight w:val="none"/>
              </w:rPr>
            </w:pPr>
          </w:p>
        </w:tc>
        <w:tc>
          <w:tcPr>
            <w:tcW w:w="1575" w:type="dxa"/>
            <w:noWrap w:val="0"/>
            <w:vAlign w:val="center"/>
          </w:tcPr>
          <w:p>
            <w:pPr>
              <w:spacing w:line="320" w:lineRule="exact"/>
              <w:rPr>
                <w:rFonts w:ascii="宋体" w:hAnsi="宋体"/>
                <w:color w:val="auto"/>
                <w:szCs w:val="21"/>
                <w:highlight w:val="none"/>
              </w:rPr>
            </w:pPr>
          </w:p>
        </w:tc>
        <w:tc>
          <w:tcPr>
            <w:tcW w:w="1050" w:type="dxa"/>
            <w:noWrap w:val="0"/>
            <w:vAlign w:val="center"/>
          </w:tcPr>
          <w:p>
            <w:pPr>
              <w:spacing w:line="320" w:lineRule="exact"/>
              <w:rPr>
                <w:rFonts w:ascii="宋体" w:hAnsi="宋体"/>
                <w:color w:val="auto"/>
                <w:szCs w:val="21"/>
                <w:highlight w:val="none"/>
              </w:rPr>
            </w:pPr>
          </w:p>
        </w:tc>
        <w:tc>
          <w:tcPr>
            <w:tcW w:w="1155" w:type="dxa"/>
            <w:noWrap w:val="0"/>
            <w:vAlign w:val="center"/>
          </w:tcPr>
          <w:p>
            <w:pPr>
              <w:spacing w:line="32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trPr>
        <w:tc>
          <w:tcPr>
            <w:tcW w:w="973" w:type="dxa"/>
            <w:noWrap w:val="0"/>
            <w:vAlign w:val="center"/>
          </w:tcPr>
          <w:p>
            <w:pPr>
              <w:spacing w:line="320" w:lineRule="exact"/>
              <w:rPr>
                <w:rFonts w:hint="eastAsia" w:ascii="宋体" w:hAnsi="宋体"/>
                <w:b/>
                <w:color w:val="auto"/>
                <w:highlight w:val="none"/>
              </w:rPr>
            </w:pPr>
          </w:p>
        </w:tc>
        <w:tc>
          <w:tcPr>
            <w:tcW w:w="525" w:type="dxa"/>
            <w:noWrap w:val="0"/>
            <w:vAlign w:val="center"/>
          </w:tcPr>
          <w:p>
            <w:pPr>
              <w:spacing w:line="320" w:lineRule="exact"/>
              <w:jc w:val="center"/>
              <w:rPr>
                <w:rFonts w:hint="eastAsia" w:ascii="宋体" w:hAnsi="宋体"/>
                <w:color w:val="auto"/>
                <w:szCs w:val="21"/>
                <w:highlight w:val="none"/>
              </w:rPr>
            </w:pPr>
          </w:p>
        </w:tc>
        <w:tc>
          <w:tcPr>
            <w:tcW w:w="1785" w:type="dxa"/>
            <w:noWrap w:val="0"/>
            <w:vAlign w:val="center"/>
          </w:tcPr>
          <w:p>
            <w:pPr>
              <w:spacing w:line="320" w:lineRule="exact"/>
              <w:rPr>
                <w:rFonts w:ascii="宋体" w:hAnsi="宋体"/>
                <w:color w:val="auto"/>
                <w:szCs w:val="21"/>
                <w:highlight w:val="none"/>
              </w:rPr>
            </w:pPr>
          </w:p>
        </w:tc>
        <w:tc>
          <w:tcPr>
            <w:tcW w:w="1575" w:type="dxa"/>
            <w:noWrap w:val="0"/>
            <w:vAlign w:val="center"/>
          </w:tcPr>
          <w:p>
            <w:pPr>
              <w:spacing w:line="320" w:lineRule="exact"/>
              <w:rPr>
                <w:rFonts w:ascii="宋体" w:hAnsi="宋体"/>
                <w:color w:val="auto"/>
                <w:szCs w:val="21"/>
                <w:highlight w:val="none"/>
              </w:rPr>
            </w:pPr>
          </w:p>
        </w:tc>
        <w:tc>
          <w:tcPr>
            <w:tcW w:w="1575" w:type="dxa"/>
            <w:noWrap w:val="0"/>
            <w:vAlign w:val="center"/>
          </w:tcPr>
          <w:p>
            <w:pPr>
              <w:spacing w:line="320" w:lineRule="exact"/>
              <w:rPr>
                <w:rFonts w:ascii="宋体" w:hAnsi="宋体"/>
                <w:color w:val="auto"/>
                <w:szCs w:val="21"/>
                <w:highlight w:val="none"/>
              </w:rPr>
            </w:pPr>
          </w:p>
        </w:tc>
        <w:tc>
          <w:tcPr>
            <w:tcW w:w="1050" w:type="dxa"/>
            <w:noWrap w:val="0"/>
            <w:vAlign w:val="center"/>
          </w:tcPr>
          <w:p>
            <w:pPr>
              <w:spacing w:line="320" w:lineRule="exact"/>
              <w:rPr>
                <w:rFonts w:ascii="宋体" w:hAnsi="宋体"/>
                <w:color w:val="auto"/>
                <w:szCs w:val="21"/>
                <w:highlight w:val="none"/>
              </w:rPr>
            </w:pPr>
          </w:p>
        </w:tc>
        <w:tc>
          <w:tcPr>
            <w:tcW w:w="1155" w:type="dxa"/>
            <w:noWrap w:val="0"/>
            <w:vAlign w:val="center"/>
          </w:tcPr>
          <w:p>
            <w:pPr>
              <w:spacing w:line="32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trPr>
        <w:tc>
          <w:tcPr>
            <w:tcW w:w="973" w:type="dxa"/>
            <w:noWrap w:val="0"/>
            <w:vAlign w:val="center"/>
          </w:tcPr>
          <w:p>
            <w:pPr>
              <w:spacing w:line="320" w:lineRule="exact"/>
              <w:rPr>
                <w:rFonts w:hint="eastAsia" w:ascii="宋体" w:hAnsi="宋体"/>
                <w:b/>
                <w:color w:val="auto"/>
                <w:highlight w:val="none"/>
              </w:rPr>
            </w:pPr>
          </w:p>
        </w:tc>
        <w:tc>
          <w:tcPr>
            <w:tcW w:w="525" w:type="dxa"/>
            <w:noWrap w:val="0"/>
            <w:vAlign w:val="center"/>
          </w:tcPr>
          <w:p>
            <w:pPr>
              <w:spacing w:line="320" w:lineRule="exact"/>
              <w:jc w:val="center"/>
              <w:rPr>
                <w:rFonts w:hint="eastAsia" w:ascii="宋体" w:hAnsi="宋体"/>
                <w:color w:val="auto"/>
                <w:szCs w:val="21"/>
                <w:highlight w:val="none"/>
              </w:rPr>
            </w:pPr>
          </w:p>
        </w:tc>
        <w:tc>
          <w:tcPr>
            <w:tcW w:w="1785" w:type="dxa"/>
            <w:noWrap w:val="0"/>
            <w:vAlign w:val="center"/>
          </w:tcPr>
          <w:p>
            <w:pPr>
              <w:spacing w:line="320" w:lineRule="exact"/>
              <w:rPr>
                <w:rFonts w:ascii="宋体" w:hAnsi="宋体"/>
                <w:color w:val="auto"/>
                <w:szCs w:val="21"/>
                <w:highlight w:val="none"/>
              </w:rPr>
            </w:pPr>
          </w:p>
        </w:tc>
        <w:tc>
          <w:tcPr>
            <w:tcW w:w="1575" w:type="dxa"/>
            <w:noWrap w:val="0"/>
            <w:vAlign w:val="center"/>
          </w:tcPr>
          <w:p>
            <w:pPr>
              <w:spacing w:line="320" w:lineRule="exact"/>
              <w:rPr>
                <w:rFonts w:ascii="宋体" w:hAnsi="宋体"/>
                <w:color w:val="auto"/>
                <w:szCs w:val="21"/>
                <w:highlight w:val="none"/>
              </w:rPr>
            </w:pPr>
          </w:p>
        </w:tc>
        <w:tc>
          <w:tcPr>
            <w:tcW w:w="1575" w:type="dxa"/>
            <w:noWrap w:val="0"/>
            <w:vAlign w:val="center"/>
          </w:tcPr>
          <w:p>
            <w:pPr>
              <w:spacing w:line="320" w:lineRule="exact"/>
              <w:rPr>
                <w:rFonts w:ascii="宋体" w:hAnsi="宋体"/>
                <w:color w:val="auto"/>
                <w:szCs w:val="21"/>
                <w:highlight w:val="none"/>
              </w:rPr>
            </w:pPr>
          </w:p>
        </w:tc>
        <w:tc>
          <w:tcPr>
            <w:tcW w:w="1050" w:type="dxa"/>
            <w:noWrap w:val="0"/>
            <w:vAlign w:val="center"/>
          </w:tcPr>
          <w:p>
            <w:pPr>
              <w:spacing w:line="320" w:lineRule="exact"/>
              <w:rPr>
                <w:rFonts w:ascii="宋体" w:hAnsi="宋体"/>
                <w:color w:val="auto"/>
                <w:szCs w:val="21"/>
                <w:highlight w:val="none"/>
              </w:rPr>
            </w:pPr>
          </w:p>
        </w:tc>
        <w:tc>
          <w:tcPr>
            <w:tcW w:w="1155" w:type="dxa"/>
            <w:noWrap w:val="0"/>
            <w:vAlign w:val="center"/>
          </w:tcPr>
          <w:p>
            <w:pPr>
              <w:spacing w:line="32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trPr>
        <w:tc>
          <w:tcPr>
            <w:tcW w:w="973" w:type="dxa"/>
            <w:noWrap w:val="0"/>
            <w:vAlign w:val="center"/>
          </w:tcPr>
          <w:p>
            <w:pPr>
              <w:spacing w:line="320" w:lineRule="exact"/>
              <w:rPr>
                <w:rFonts w:hint="eastAsia" w:ascii="宋体" w:hAnsi="宋体"/>
                <w:b/>
                <w:color w:val="auto"/>
                <w:highlight w:val="none"/>
              </w:rPr>
            </w:pPr>
          </w:p>
        </w:tc>
        <w:tc>
          <w:tcPr>
            <w:tcW w:w="525" w:type="dxa"/>
            <w:noWrap w:val="0"/>
            <w:vAlign w:val="center"/>
          </w:tcPr>
          <w:p>
            <w:pPr>
              <w:spacing w:line="320" w:lineRule="exact"/>
              <w:jc w:val="center"/>
              <w:rPr>
                <w:rFonts w:hint="eastAsia" w:ascii="宋体" w:hAnsi="宋体"/>
                <w:color w:val="auto"/>
                <w:szCs w:val="21"/>
                <w:highlight w:val="none"/>
              </w:rPr>
            </w:pPr>
          </w:p>
        </w:tc>
        <w:tc>
          <w:tcPr>
            <w:tcW w:w="1785" w:type="dxa"/>
            <w:noWrap w:val="0"/>
            <w:vAlign w:val="center"/>
          </w:tcPr>
          <w:p>
            <w:pPr>
              <w:spacing w:line="320" w:lineRule="exact"/>
              <w:rPr>
                <w:rFonts w:ascii="宋体" w:hAnsi="宋体"/>
                <w:color w:val="auto"/>
                <w:szCs w:val="21"/>
                <w:highlight w:val="none"/>
              </w:rPr>
            </w:pPr>
          </w:p>
        </w:tc>
        <w:tc>
          <w:tcPr>
            <w:tcW w:w="1575" w:type="dxa"/>
            <w:noWrap w:val="0"/>
            <w:vAlign w:val="center"/>
          </w:tcPr>
          <w:p>
            <w:pPr>
              <w:spacing w:line="320" w:lineRule="exact"/>
              <w:rPr>
                <w:rFonts w:ascii="宋体" w:hAnsi="宋体"/>
                <w:color w:val="auto"/>
                <w:szCs w:val="21"/>
                <w:highlight w:val="none"/>
              </w:rPr>
            </w:pPr>
          </w:p>
        </w:tc>
        <w:tc>
          <w:tcPr>
            <w:tcW w:w="1575" w:type="dxa"/>
            <w:noWrap w:val="0"/>
            <w:vAlign w:val="center"/>
          </w:tcPr>
          <w:p>
            <w:pPr>
              <w:spacing w:line="320" w:lineRule="exact"/>
              <w:rPr>
                <w:rFonts w:ascii="宋体" w:hAnsi="宋体"/>
                <w:color w:val="auto"/>
                <w:szCs w:val="21"/>
                <w:highlight w:val="none"/>
              </w:rPr>
            </w:pPr>
          </w:p>
        </w:tc>
        <w:tc>
          <w:tcPr>
            <w:tcW w:w="1050" w:type="dxa"/>
            <w:noWrap w:val="0"/>
            <w:vAlign w:val="center"/>
          </w:tcPr>
          <w:p>
            <w:pPr>
              <w:spacing w:line="320" w:lineRule="exact"/>
              <w:rPr>
                <w:rFonts w:ascii="宋体" w:hAnsi="宋体"/>
                <w:color w:val="auto"/>
                <w:szCs w:val="21"/>
                <w:highlight w:val="none"/>
              </w:rPr>
            </w:pPr>
          </w:p>
        </w:tc>
        <w:tc>
          <w:tcPr>
            <w:tcW w:w="1155" w:type="dxa"/>
            <w:noWrap w:val="0"/>
            <w:vAlign w:val="center"/>
          </w:tcPr>
          <w:p>
            <w:pPr>
              <w:spacing w:line="320" w:lineRule="exact"/>
              <w:rPr>
                <w:rFonts w:ascii="宋体" w:hAnsi="宋体"/>
                <w:color w:val="auto"/>
                <w:szCs w:val="21"/>
                <w:highlight w:val="none"/>
              </w:rPr>
            </w:pPr>
          </w:p>
        </w:tc>
      </w:tr>
    </w:tbl>
    <w:p>
      <w:pPr>
        <w:spacing w:line="380" w:lineRule="exact"/>
        <w:jc w:val="center"/>
        <w:rPr>
          <w:rFonts w:hint="eastAsia" w:ascii="宋体" w:hAnsi="宋体"/>
          <w:color w:val="auto"/>
          <w:sz w:val="32"/>
          <w:szCs w:val="32"/>
          <w:highlight w:val="none"/>
        </w:rPr>
      </w:pPr>
    </w:p>
    <w:p>
      <w:pPr>
        <w:rPr>
          <w:rFonts w:hint="eastAsia" w:ascii="宋体" w:hAnsi="宋体"/>
          <w:color w:val="auto"/>
          <w:szCs w:val="21"/>
          <w:highlight w:val="none"/>
          <w:u w:val="single"/>
        </w:rPr>
      </w:pPr>
      <w:r>
        <w:rPr>
          <w:rFonts w:hint="eastAsia" w:ascii="宋体" w:hAnsi="宋体"/>
          <w:color w:val="auto"/>
          <w:szCs w:val="21"/>
          <w:highlight w:val="none"/>
        </w:rPr>
        <w:t>投标人（全称并加盖公章）：</w:t>
      </w:r>
      <w:r>
        <w:rPr>
          <w:rFonts w:hint="eastAsia" w:ascii="宋体" w:hAnsi="宋体"/>
          <w:color w:val="auto"/>
          <w:szCs w:val="21"/>
          <w:highlight w:val="none"/>
          <w:u w:val="single"/>
        </w:rPr>
        <w:t xml:space="preserve">                     </w:t>
      </w:r>
      <w:r>
        <w:rPr>
          <w:rFonts w:hint="eastAsia" w:ascii="宋体" w:hAnsi="宋体"/>
          <w:color w:val="auto"/>
          <w:highlight w:val="none"/>
        </w:rPr>
        <w:t xml:space="preserve">  </w:t>
      </w:r>
    </w:p>
    <w:p>
      <w:pPr>
        <w:spacing w:line="380" w:lineRule="exact"/>
        <w:rPr>
          <w:rFonts w:hint="eastAsia" w:ascii="宋体" w:hAnsi="宋体"/>
          <w:b/>
          <w:color w:val="auto"/>
          <w:szCs w:val="21"/>
          <w:highlight w:val="none"/>
        </w:rPr>
      </w:pPr>
      <w:r>
        <w:rPr>
          <w:rFonts w:hint="eastAsia" w:ascii="宋体" w:hAnsi="宋体"/>
          <w:color w:val="auto"/>
          <w:szCs w:val="21"/>
          <w:highlight w:val="none"/>
        </w:rPr>
        <w:t xml:space="preserve">投标人代表签字： </w:t>
      </w:r>
      <w:r>
        <w:rPr>
          <w:rFonts w:hint="eastAsia" w:ascii="宋体" w:hAnsi="宋体"/>
          <w:color w:val="auto"/>
          <w:szCs w:val="21"/>
          <w:highlight w:val="none"/>
          <w:u w:val="single"/>
        </w:rPr>
        <w:t xml:space="preserve">                            </w:t>
      </w:r>
      <w:r>
        <w:rPr>
          <w:rFonts w:hint="eastAsia" w:ascii="宋体" w:hAnsi="宋体"/>
          <w:color w:val="auto"/>
          <w:highlight w:val="none"/>
        </w:rPr>
        <w:t xml:space="preserve">  </w:t>
      </w:r>
      <w:r>
        <w:rPr>
          <w:rFonts w:hint="eastAsia" w:ascii="宋体" w:hAnsi="宋体"/>
          <w:color w:val="auto"/>
          <w:szCs w:val="21"/>
          <w:highlight w:val="none"/>
        </w:rPr>
        <w:t xml:space="preserve">    </w:t>
      </w:r>
    </w:p>
    <w:p>
      <w:pPr>
        <w:spacing w:line="380" w:lineRule="exact"/>
        <w:jc w:val="center"/>
        <w:rPr>
          <w:rFonts w:hint="eastAsia" w:ascii="宋体" w:hAnsi="宋体"/>
          <w:b/>
          <w:color w:val="auto"/>
          <w:sz w:val="30"/>
          <w:szCs w:val="30"/>
          <w:highlight w:val="none"/>
        </w:rPr>
      </w:pPr>
    </w:p>
    <w:p>
      <w:pPr>
        <w:spacing w:line="380" w:lineRule="exact"/>
        <w:jc w:val="center"/>
        <w:rPr>
          <w:rFonts w:hint="eastAsia" w:ascii="宋体" w:hAnsi="宋体"/>
          <w:b/>
          <w:color w:val="auto"/>
          <w:sz w:val="30"/>
          <w:szCs w:val="30"/>
          <w:highlight w:val="none"/>
        </w:rPr>
      </w:pPr>
      <w:r>
        <w:rPr>
          <w:rFonts w:hint="eastAsia" w:ascii="宋体" w:hAnsi="宋体"/>
          <w:b/>
          <w:color w:val="auto"/>
          <w:sz w:val="30"/>
          <w:szCs w:val="30"/>
          <w:highlight w:val="none"/>
        </w:rPr>
        <w:t>表3-2、专用工具清单（如有）</w:t>
      </w:r>
    </w:p>
    <w:p>
      <w:pPr>
        <w:spacing w:line="380" w:lineRule="exact"/>
        <w:jc w:val="center"/>
        <w:rPr>
          <w:rFonts w:hint="eastAsia" w:ascii="宋体" w:hAnsi="宋体"/>
          <w:b/>
          <w:color w:val="auto"/>
          <w:sz w:val="30"/>
          <w:szCs w:val="30"/>
          <w:highlight w:val="none"/>
        </w:rPr>
      </w:pPr>
    </w:p>
    <w:tbl>
      <w:tblPr>
        <w:tblStyle w:val="14"/>
        <w:tblW w:w="0" w:type="auto"/>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45"/>
        <w:gridCol w:w="630"/>
        <w:gridCol w:w="1575"/>
        <w:gridCol w:w="1050"/>
        <w:gridCol w:w="840"/>
        <w:gridCol w:w="945"/>
        <w:gridCol w:w="945"/>
        <w:gridCol w:w="1050"/>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trPr>
        <w:tc>
          <w:tcPr>
            <w:tcW w:w="945" w:type="dxa"/>
            <w:noWrap w:val="0"/>
            <w:vAlign w:val="center"/>
          </w:tcPr>
          <w:p>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合同包/品目号</w:t>
            </w:r>
          </w:p>
        </w:tc>
        <w:tc>
          <w:tcPr>
            <w:tcW w:w="630" w:type="dxa"/>
            <w:noWrap w:val="0"/>
            <w:vAlign w:val="center"/>
          </w:tcPr>
          <w:p>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1575" w:type="dxa"/>
            <w:noWrap w:val="0"/>
            <w:vAlign w:val="center"/>
          </w:tcPr>
          <w:p>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工具名称</w:t>
            </w:r>
          </w:p>
        </w:tc>
        <w:tc>
          <w:tcPr>
            <w:tcW w:w="1050" w:type="dxa"/>
            <w:noWrap w:val="0"/>
            <w:vAlign w:val="center"/>
          </w:tcPr>
          <w:p>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规格、型号</w:t>
            </w:r>
          </w:p>
        </w:tc>
        <w:tc>
          <w:tcPr>
            <w:tcW w:w="840" w:type="dxa"/>
            <w:noWrap w:val="0"/>
            <w:vAlign w:val="center"/>
          </w:tcPr>
          <w:p>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产地</w:t>
            </w:r>
          </w:p>
        </w:tc>
        <w:tc>
          <w:tcPr>
            <w:tcW w:w="945" w:type="dxa"/>
            <w:noWrap w:val="0"/>
            <w:vAlign w:val="center"/>
          </w:tcPr>
          <w:p>
            <w:pPr>
              <w:spacing w:line="380" w:lineRule="exact"/>
              <w:jc w:val="center"/>
              <w:rPr>
                <w:rFonts w:ascii="宋体" w:hAnsi="宋体"/>
                <w:b/>
                <w:color w:val="auto"/>
                <w:szCs w:val="21"/>
                <w:highlight w:val="none"/>
              </w:rPr>
            </w:pPr>
            <w:r>
              <w:rPr>
                <w:rFonts w:hint="eastAsia" w:ascii="宋体" w:hAnsi="宋体"/>
                <w:b/>
                <w:color w:val="auto"/>
                <w:szCs w:val="21"/>
                <w:highlight w:val="none"/>
              </w:rPr>
              <w:t>数量</w:t>
            </w:r>
          </w:p>
        </w:tc>
        <w:tc>
          <w:tcPr>
            <w:tcW w:w="945" w:type="dxa"/>
            <w:noWrap w:val="0"/>
            <w:vAlign w:val="center"/>
          </w:tcPr>
          <w:p>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单价</w:t>
            </w:r>
          </w:p>
        </w:tc>
        <w:tc>
          <w:tcPr>
            <w:tcW w:w="1050" w:type="dxa"/>
            <w:noWrap w:val="0"/>
            <w:vAlign w:val="center"/>
          </w:tcPr>
          <w:p>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总价</w:t>
            </w:r>
          </w:p>
        </w:tc>
        <w:tc>
          <w:tcPr>
            <w:tcW w:w="945" w:type="dxa"/>
            <w:noWrap w:val="0"/>
            <w:vAlign w:val="center"/>
          </w:tcPr>
          <w:p>
            <w:pPr>
              <w:spacing w:line="380" w:lineRule="exact"/>
              <w:jc w:val="center"/>
              <w:rPr>
                <w:rFonts w:ascii="宋体" w:hAnsi="宋体"/>
                <w:b/>
                <w:color w:val="auto"/>
                <w:szCs w:val="21"/>
                <w:highlight w:val="none"/>
              </w:rPr>
            </w:pPr>
            <w:r>
              <w:rPr>
                <w:rFonts w:hint="eastAsia" w:ascii="宋体" w:hAnsi="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trPr>
        <w:tc>
          <w:tcPr>
            <w:tcW w:w="945" w:type="dxa"/>
            <w:noWrap w:val="0"/>
            <w:vAlign w:val="center"/>
          </w:tcPr>
          <w:p>
            <w:pPr>
              <w:spacing w:line="320" w:lineRule="exact"/>
              <w:rPr>
                <w:rFonts w:ascii="宋体" w:hAnsi="宋体"/>
                <w:color w:val="auto"/>
                <w:szCs w:val="21"/>
                <w:highlight w:val="none"/>
              </w:rPr>
            </w:pPr>
            <w:r>
              <w:rPr>
                <w:rFonts w:hint="eastAsia" w:ascii="宋体" w:hAnsi="宋体"/>
                <w:b/>
                <w:color w:val="auto"/>
                <w:highlight w:val="none"/>
              </w:rPr>
              <w:t xml:space="preserve"> </w:t>
            </w:r>
          </w:p>
        </w:tc>
        <w:tc>
          <w:tcPr>
            <w:tcW w:w="630" w:type="dxa"/>
            <w:noWrap w:val="0"/>
            <w:vAlign w:val="center"/>
          </w:tcPr>
          <w:p>
            <w:pPr>
              <w:spacing w:line="320" w:lineRule="exact"/>
              <w:jc w:val="center"/>
              <w:rPr>
                <w:rFonts w:hint="eastAsia" w:ascii="宋体" w:hAnsi="宋体"/>
                <w:color w:val="auto"/>
                <w:szCs w:val="21"/>
                <w:highlight w:val="none"/>
              </w:rPr>
            </w:pPr>
          </w:p>
        </w:tc>
        <w:tc>
          <w:tcPr>
            <w:tcW w:w="1575" w:type="dxa"/>
            <w:noWrap w:val="0"/>
            <w:vAlign w:val="center"/>
          </w:tcPr>
          <w:p>
            <w:pPr>
              <w:spacing w:line="320" w:lineRule="exact"/>
              <w:rPr>
                <w:rFonts w:ascii="宋体" w:hAnsi="宋体"/>
                <w:color w:val="auto"/>
                <w:szCs w:val="21"/>
                <w:highlight w:val="none"/>
              </w:rPr>
            </w:pPr>
          </w:p>
        </w:tc>
        <w:tc>
          <w:tcPr>
            <w:tcW w:w="1050" w:type="dxa"/>
            <w:noWrap w:val="0"/>
            <w:vAlign w:val="center"/>
          </w:tcPr>
          <w:p>
            <w:pPr>
              <w:spacing w:line="320" w:lineRule="exact"/>
              <w:rPr>
                <w:rFonts w:ascii="宋体" w:hAnsi="宋体"/>
                <w:color w:val="auto"/>
                <w:szCs w:val="21"/>
                <w:highlight w:val="none"/>
              </w:rPr>
            </w:pPr>
          </w:p>
        </w:tc>
        <w:tc>
          <w:tcPr>
            <w:tcW w:w="840" w:type="dxa"/>
            <w:noWrap w:val="0"/>
            <w:vAlign w:val="center"/>
          </w:tcPr>
          <w:p>
            <w:pPr>
              <w:spacing w:line="320" w:lineRule="exact"/>
              <w:rPr>
                <w:rFonts w:ascii="宋体" w:hAnsi="宋体"/>
                <w:color w:val="auto"/>
                <w:szCs w:val="21"/>
                <w:highlight w:val="none"/>
              </w:rPr>
            </w:pPr>
          </w:p>
        </w:tc>
        <w:tc>
          <w:tcPr>
            <w:tcW w:w="945" w:type="dxa"/>
            <w:noWrap w:val="0"/>
            <w:vAlign w:val="center"/>
          </w:tcPr>
          <w:p>
            <w:pPr>
              <w:spacing w:line="320" w:lineRule="exact"/>
              <w:rPr>
                <w:rFonts w:ascii="宋体" w:hAnsi="宋体"/>
                <w:color w:val="auto"/>
                <w:szCs w:val="21"/>
                <w:highlight w:val="none"/>
              </w:rPr>
            </w:pPr>
          </w:p>
        </w:tc>
        <w:tc>
          <w:tcPr>
            <w:tcW w:w="945" w:type="dxa"/>
            <w:noWrap w:val="0"/>
            <w:vAlign w:val="center"/>
          </w:tcPr>
          <w:p>
            <w:pPr>
              <w:spacing w:line="320" w:lineRule="exact"/>
              <w:rPr>
                <w:rFonts w:ascii="宋体" w:hAnsi="宋体"/>
                <w:color w:val="auto"/>
                <w:szCs w:val="21"/>
                <w:highlight w:val="none"/>
              </w:rPr>
            </w:pPr>
          </w:p>
        </w:tc>
        <w:tc>
          <w:tcPr>
            <w:tcW w:w="1050" w:type="dxa"/>
            <w:noWrap w:val="0"/>
            <w:vAlign w:val="center"/>
          </w:tcPr>
          <w:p>
            <w:pPr>
              <w:spacing w:line="320" w:lineRule="exact"/>
              <w:rPr>
                <w:rFonts w:ascii="宋体" w:hAnsi="宋体"/>
                <w:color w:val="auto"/>
                <w:szCs w:val="21"/>
                <w:highlight w:val="none"/>
              </w:rPr>
            </w:pPr>
          </w:p>
        </w:tc>
        <w:tc>
          <w:tcPr>
            <w:tcW w:w="945" w:type="dxa"/>
            <w:noWrap w:val="0"/>
            <w:vAlign w:val="center"/>
          </w:tcPr>
          <w:p>
            <w:pPr>
              <w:spacing w:line="32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trPr>
        <w:tc>
          <w:tcPr>
            <w:tcW w:w="945" w:type="dxa"/>
            <w:noWrap w:val="0"/>
            <w:vAlign w:val="center"/>
          </w:tcPr>
          <w:p>
            <w:pPr>
              <w:spacing w:line="320" w:lineRule="exact"/>
              <w:rPr>
                <w:rFonts w:ascii="宋体" w:hAnsi="宋体"/>
                <w:color w:val="auto"/>
                <w:szCs w:val="21"/>
                <w:highlight w:val="none"/>
              </w:rPr>
            </w:pPr>
          </w:p>
        </w:tc>
        <w:tc>
          <w:tcPr>
            <w:tcW w:w="630" w:type="dxa"/>
            <w:noWrap w:val="0"/>
            <w:vAlign w:val="center"/>
          </w:tcPr>
          <w:p>
            <w:pPr>
              <w:spacing w:line="320" w:lineRule="exact"/>
              <w:jc w:val="center"/>
              <w:rPr>
                <w:rFonts w:hint="eastAsia" w:ascii="宋体" w:hAnsi="宋体"/>
                <w:color w:val="auto"/>
                <w:szCs w:val="21"/>
                <w:highlight w:val="none"/>
              </w:rPr>
            </w:pPr>
          </w:p>
        </w:tc>
        <w:tc>
          <w:tcPr>
            <w:tcW w:w="1575" w:type="dxa"/>
            <w:noWrap w:val="0"/>
            <w:vAlign w:val="center"/>
          </w:tcPr>
          <w:p>
            <w:pPr>
              <w:spacing w:line="320" w:lineRule="exact"/>
              <w:rPr>
                <w:rFonts w:ascii="宋体" w:hAnsi="宋体"/>
                <w:color w:val="auto"/>
                <w:szCs w:val="21"/>
                <w:highlight w:val="none"/>
              </w:rPr>
            </w:pPr>
          </w:p>
        </w:tc>
        <w:tc>
          <w:tcPr>
            <w:tcW w:w="1050" w:type="dxa"/>
            <w:noWrap w:val="0"/>
            <w:vAlign w:val="center"/>
          </w:tcPr>
          <w:p>
            <w:pPr>
              <w:spacing w:line="320" w:lineRule="exact"/>
              <w:rPr>
                <w:rFonts w:ascii="宋体" w:hAnsi="宋体"/>
                <w:color w:val="auto"/>
                <w:szCs w:val="21"/>
                <w:highlight w:val="none"/>
              </w:rPr>
            </w:pPr>
          </w:p>
        </w:tc>
        <w:tc>
          <w:tcPr>
            <w:tcW w:w="840" w:type="dxa"/>
            <w:noWrap w:val="0"/>
            <w:vAlign w:val="center"/>
          </w:tcPr>
          <w:p>
            <w:pPr>
              <w:spacing w:line="320" w:lineRule="exact"/>
              <w:rPr>
                <w:rFonts w:ascii="宋体" w:hAnsi="宋体"/>
                <w:color w:val="auto"/>
                <w:szCs w:val="21"/>
                <w:highlight w:val="none"/>
              </w:rPr>
            </w:pPr>
          </w:p>
        </w:tc>
        <w:tc>
          <w:tcPr>
            <w:tcW w:w="945" w:type="dxa"/>
            <w:noWrap w:val="0"/>
            <w:vAlign w:val="center"/>
          </w:tcPr>
          <w:p>
            <w:pPr>
              <w:spacing w:line="320" w:lineRule="exact"/>
              <w:rPr>
                <w:rFonts w:ascii="宋体" w:hAnsi="宋体"/>
                <w:color w:val="auto"/>
                <w:szCs w:val="21"/>
                <w:highlight w:val="none"/>
              </w:rPr>
            </w:pPr>
          </w:p>
        </w:tc>
        <w:tc>
          <w:tcPr>
            <w:tcW w:w="945" w:type="dxa"/>
            <w:noWrap w:val="0"/>
            <w:vAlign w:val="center"/>
          </w:tcPr>
          <w:p>
            <w:pPr>
              <w:spacing w:line="320" w:lineRule="exact"/>
              <w:rPr>
                <w:rFonts w:ascii="宋体" w:hAnsi="宋体"/>
                <w:color w:val="auto"/>
                <w:szCs w:val="21"/>
                <w:highlight w:val="none"/>
              </w:rPr>
            </w:pPr>
          </w:p>
        </w:tc>
        <w:tc>
          <w:tcPr>
            <w:tcW w:w="1050" w:type="dxa"/>
            <w:noWrap w:val="0"/>
            <w:vAlign w:val="center"/>
          </w:tcPr>
          <w:p>
            <w:pPr>
              <w:spacing w:line="320" w:lineRule="exact"/>
              <w:rPr>
                <w:rFonts w:ascii="宋体" w:hAnsi="宋体"/>
                <w:color w:val="auto"/>
                <w:szCs w:val="21"/>
                <w:highlight w:val="none"/>
              </w:rPr>
            </w:pPr>
          </w:p>
        </w:tc>
        <w:tc>
          <w:tcPr>
            <w:tcW w:w="945" w:type="dxa"/>
            <w:noWrap w:val="0"/>
            <w:vAlign w:val="center"/>
          </w:tcPr>
          <w:p>
            <w:pPr>
              <w:spacing w:line="32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trPr>
        <w:tc>
          <w:tcPr>
            <w:tcW w:w="945" w:type="dxa"/>
            <w:noWrap w:val="0"/>
            <w:vAlign w:val="center"/>
          </w:tcPr>
          <w:p>
            <w:pPr>
              <w:spacing w:line="320" w:lineRule="exact"/>
              <w:rPr>
                <w:rFonts w:hint="eastAsia" w:ascii="宋体" w:hAnsi="宋体"/>
                <w:b/>
                <w:color w:val="auto"/>
                <w:highlight w:val="none"/>
              </w:rPr>
            </w:pPr>
          </w:p>
        </w:tc>
        <w:tc>
          <w:tcPr>
            <w:tcW w:w="630" w:type="dxa"/>
            <w:noWrap w:val="0"/>
            <w:vAlign w:val="center"/>
          </w:tcPr>
          <w:p>
            <w:pPr>
              <w:spacing w:line="320" w:lineRule="exact"/>
              <w:jc w:val="center"/>
              <w:rPr>
                <w:rFonts w:hint="eastAsia" w:ascii="宋体" w:hAnsi="宋体"/>
                <w:color w:val="auto"/>
                <w:szCs w:val="21"/>
                <w:highlight w:val="none"/>
              </w:rPr>
            </w:pPr>
          </w:p>
        </w:tc>
        <w:tc>
          <w:tcPr>
            <w:tcW w:w="1575" w:type="dxa"/>
            <w:noWrap w:val="0"/>
            <w:vAlign w:val="center"/>
          </w:tcPr>
          <w:p>
            <w:pPr>
              <w:spacing w:line="320" w:lineRule="exact"/>
              <w:rPr>
                <w:rFonts w:ascii="宋体" w:hAnsi="宋体"/>
                <w:color w:val="auto"/>
                <w:szCs w:val="21"/>
                <w:highlight w:val="none"/>
              </w:rPr>
            </w:pPr>
          </w:p>
        </w:tc>
        <w:tc>
          <w:tcPr>
            <w:tcW w:w="1050" w:type="dxa"/>
            <w:noWrap w:val="0"/>
            <w:vAlign w:val="center"/>
          </w:tcPr>
          <w:p>
            <w:pPr>
              <w:spacing w:line="320" w:lineRule="exact"/>
              <w:rPr>
                <w:rFonts w:ascii="宋体" w:hAnsi="宋体"/>
                <w:color w:val="auto"/>
                <w:szCs w:val="21"/>
                <w:highlight w:val="none"/>
              </w:rPr>
            </w:pPr>
          </w:p>
        </w:tc>
        <w:tc>
          <w:tcPr>
            <w:tcW w:w="840" w:type="dxa"/>
            <w:noWrap w:val="0"/>
            <w:vAlign w:val="center"/>
          </w:tcPr>
          <w:p>
            <w:pPr>
              <w:spacing w:line="320" w:lineRule="exact"/>
              <w:rPr>
                <w:rFonts w:ascii="宋体" w:hAnsi="宋体"/>
                <w:color w:val="auto"/>
                <w:szCs w:val="21"/>
                <w:highlight w:val="none"/>
              </w:rPr>
            </w:pPr>
          </w:p>
        </w:tc>
        <w:tc>
          <w:tcPr>
            <w:tcW w:w="945" w:type="dxa"/>
            <w:noWrap w:val="0"/>
            <w:vAlign w:val="center"/>
          </w:tcPr>
          <w:p>
            <w:pPr>
              <w:spacing w:line="320" w:lineRule="exact"/>
              <w:rPr>
                <w:rFonts w:ascii="宋体" w:hAnsi="宋体"/>
                <w:color w:val="auto"/>
                <w:szCs w:val="21"/>
                <w:highlight w:val="none"/>
              </w:rPr>
            </w:pPr>
          </w:p>
        </w:tc>
        <w:tc>
          <w:tcPr>
            <w:tcW w:w="945" w:type="dxa"/>
            <w:noWrap w:val="0"/>
            <w:vAlign w:val="center"/>
          </w:tcPr>
          <w:p>
            <w:pPr>
              <w:spacing w:line="320" w:lineRule="exact"/>
              <w:rPr>
                <w:rFonts w:ascii="宋体" w:hAnsi="宋体"/>
                <w:color w:val="auto"/>
                <w:szCs w:val="21"/>
                <w:highlight w:val="none"/>
              </w:rPr>
            </w:pPr>
          </w:p>
        </w:tc>
        <w:tc>
          <w:tcPr>
            <w:tcW w:w="1050" w:type="dxa"/>
            <w:noWrap w:val="0"/>
            <w:vAlign w:val="center"/>
          </w:tcPr>
          <w:p>
            <w:pPr>
              <w:spacing w:line="320" w:lineRule="exact"/>
              <w:rPr>
                <w:rFonts w:ascii="宋体" w:hAnsi="宋体"/>
                <w:color w:val="auto"/>
                <w:szCs w:val="21"/>
                <w:highlight w:val="none"/>
              </w:rPr>
            </w:pPr>
          </w:p>
        </w:tc>
        <w:tc>
          <w:tcPr>
            <w:tcW w:w="945" w:type="dxa"/>
            <w:noWrap w:val="0"/>
            <w:vAlign w:val="center"/>
          </w:tcPr>
          <w:p>
            <w:pPr>
              <w:spacing w:line="32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trPr>
        <w:tc>
          <w:tcPr>
            <w:tcW w:w="945" w:type="dxa"/>
            <w:noWrap w:val="0"/>
            <w:vAlign w:val="center"/>
          </w:tcPr>
          <w:p>
            <w:pPr>
              <w:spacing w:line="320" w:lineRule="exact"/>
              <w:rPr>
                <w:rFonts w:hint="eastAsia" w:ascii="宋体" w:hAnsi="宋体"/>
                <w:b/>
                <w:color w:val="auto"/>
                <w:highlight w:val="none"/>
              </w:rPr>
            </w:pPr>
          </w:p>
        </w:tc>
        <w:tc>
          <w:tcPr>
            <w:tcW w:w="630" w:type="dxa"/>
            <w:noWrap w:val="0"/>
            <w:vAlign w:val="center"/>
          </w:tcPr>
          <w:p>
            <w:pPr>
              <w:spacing w:line="320" w:lineRule="exact"/>
              <w:jc w:val="center"/>
              <w:rPr>
                <w:rFonts w:hint="eastAsia" w:ascii="宋体" w:hAnsi="宋体"/>
                <w:color w:val="auto"/>
                <w:szCs w:val="21"/>
                <w:highlight w:val="none"/>
              </w:rPr>
            </w:pPr>
          </w:p>
        </w:tc>
        <w:tc>
          <w:tcPr>
            <w:tcW w:w="1575" w:type="dxa"/>
            <w:noWrap w:val="0"/>
            <w:vAlign w:val="center"/>
          </w:tcPr>
          <w:p>
            <w:pPr>
              <w:spacing w:line="320" w:lineRule="exact"/>
              <w:rPr>
                <w:rFonts w:ascii="宋体" w:hAnsi="宋体"/>
                <w:color w:val="auto"/>
                <w:szCs w:val="21"/>
                <w:highlight w:val="none"/>
              </w:rPr>
            </w:pPr>
          </w:p>
        </w:tc>
        <w:tc>
          <w:tcPr>
            <w:tcW w:w="1050" w:type="dxa"/>
            <w:noWrap w:val="0"/>
            <w:vAlign w:val="center"/>
          </w:tcPr>
          <w:p>
            <w:pPr>
              <w:spacing w:line="320" w:lineRule="exact"/>
              <w:rPr>
                <w:rFonts w:ascii="宋体" w:hAnsi="宋体"/>
                <w:color w:val="auto"/>
                <w:szCs w:val="21"/>
                <w:highlight w:val="none"/>
              </w:rPr>
            </w:pPr>
          </w:p>
        </w:tc>
        <w:tc>
          <w:tcPr>
            <w:tcW w:w="840" w:type="dxa"/>
            <w:noWrap w:val="0"/>
            <w:vAlign w:val="center"/>
          </w:tcPr>
          <w:p>
            <w:pPr>
              <w:spacing w:line="320" w:lineRule="exact"/>
              <w:rPr>
                <w:rFonts w:ascii="宋体" w:hAnsi="宋体"/>
                <w:color w:val="auto"/>
                <w:szCs w:val="21"/>
                <w:highlight w:val="none"/>
              </w:rPr>
            </w:pPr>
          </w:p>
        </w:tc>
        <w:tc>
          <w:tcPr>
            <w:tcW w:w="945" w:type="dxa"/>
            <w:noWrap w:val="0"/>
            <w:vAlign w:val="center"/>
          </w:tcPr>
          <w:p>
            <w:pPr>
              <w:spacing w:line="320" w:lineRule="exact"/>
              <w:rPr>
                <w:rFonts w:ascii="宋体" w:hAnsi="宋体"/>
                <w:color w:val="auto"/>
                <w:szCs w:val="21"/>
                <w:highlight w:val="none"/>
              </w:rPr>
            </w:pPr>
          </w:p>
        </w:tc>
        <w:tc>
          <w:tcPr>
            <w:tcW w:w="945" w:type="dxa"/>
            <w:noWrap w:val="0"/>
            <w:vAlign w:val="center"/>
          </w:tcPr>
          <w:p>
            <w:pPr>
              <w:spacing w:line="320" w:lineRule="exact"/>
              <w:rPr>
                <w:rFonts w:ascii="宋体" w:hAnsi="宋体"/>
                <w:color w:val="auto"/>
                <w:szCs w:val="21"/>
                <w:highlight w:val="none"/>
              </w:rPr>
            </w:pPr>
          </w:p>
        </w:tc>
        <w:tc>
          <w:tcPr>
            <w:tcW w:w="1050" w:type="dxa"/>
            <w:noWrap w:val="0"/>
            <w:vAlign w:val="center"/>
          </w:tcPr>
          <w:p>
            <w:pPr>
              <w:spacing w:line="320" w:lineRule="exact"/>
              <w:rPr>
                <w:rFonts w:ascii="宋体" w:hAnsi="宋体"/>
                <w:color w:val="auto"/>
                <w:szCs w:val="21"/>
                <w:highlight w:val="none"/>
              </w:rPr>
            </w:pPr>
          </w:p>
        </w:tc>
        <w:tc>
          <w:tcPr>
            <w:tcW w:w="945" w:type="dxa"/>
            <w:noWrap w:val="0"/>
            <w:vAlign w:val="center"/>
          </w:tcPr>
          <w:p>
            <w:pPr>
              <w:spacing w:line="32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trPr>
        <w:tc>
          <w:tcPr>
            <w:tcW w:w="945" w:type="dxa"/>
            <w:noWrap w:val="0"/>
            <w:vAlign w:val="center"/>
          </w:tcPr>
          <w:p>
            <w:pPr>
              <w:spacing w:line="320" w:lineRule="exact"/>
              <w:rPr>
                <w:rFonts w:hint="eastAsia" w:ascii="宋体" w:hAnsi="宋体"/>
                <w:b/>
                <w:color w:val="auto"/>
                <w:highlight w:val="none"/>
              </w:rPr>
            </w:pPr>
          </w:p>
        </w:tc>
        <w:tc>
          <w:tcPr>
            <w:tcW w:w="630" w:type="dxa"/>
            <w:noWrap w:val="0"/>
            <w:vAlign w:val="center"/>
          </w:tcPr>
          <w:p>
            <w:pPr>
              <w:spacing w:line="320" w:lineRule="exact"/>
              <w:jc w:val="center"/>
              <w:rPr>
                <w:rFonts w:hint="eastAsia" w:ascii="宋体" w:hAnsi="宋体"/>
                <w:color w:val="auto"/>
                <w:szCs w:val="21"/>
                <w:highlight w:val="none"/>
              </w:rPr>
            </w:pPr>
          </w:p>
        </w:tc>
        <w:tc>
          <w:tcPr>
            <w:tcW w:w="1575" w:type="dxa"/>
            <w:noWrap w:val="0"/>
            <w:vAlign w:val="center"/>
          </w:tcPr>
          <w:p>
            <w:pPr>
              <w:spacing w:line="320" w:lineRule="exact"/>
              <w:rPr>
                <w:rFonts w:ascii="宋体" w:hAnsi="宋体"/>
                <w:color w:val="auto"/>
                <w:szCs w:val="21"/>
                <w:highlight w:val="none"/>
              </w:rPr>
            </w:pPr>
          </w:p>
        </w:tc>
        <w:tc>
          <w:tcPr>
            <w:tcW w:w="1050" w:type="dxa"/>
            <w:noWrap w:val="0"/>
            <w:vAlign w:val="center"/>
          </w:tcPr>
          <w:p>
            <w:pPr>
              <w:spacing w:line="320" w:lineRule="exact"/>
              <w:rPr>
                <w:rFonts w:ascii="宋体" w:hAnsi="宋体"/>
                <w:color w:val="auto"/>
                <w:szCs w:val="21"/>
                <w:highlight w:val="none"/>
              </w:rPr>
            </w:pPr>
          </w:p>
        </w:tc>
        <w:tc>
          <w:tcPr>
            <w:tcW w:w="840" w:type="dxa"/>
            <w:noWrap w:val="0"/>
            <w:vAlign w:val="center"/>
          </w:tcPr>
          <w:p>
            <w:pPr>
              <w:spacing w:line="320" w:lineRule="exact"/>
              <w:rPr>
                <w:rFonts w:ascii="宋体" w:hAnsi="宋体"/>
                <w:color w:val="auto"/>
                <w:szCs w:val="21"/>
                <w:highlight w:val="none"/>
              </w:rPr>
            </w:pPr>
          </w:p>
        </w:tc>
        <w:tc>
          <w:tcPr>
            <w:tcW w:w="945" w:type="dxa"/>
            <w:noWrap w:val="0"/>
            <w:vAlign w:val="center"/>
          </w:tcPr>
          <w:p>
            <w:pPr>
              <w:spacing w:line="320" w:lineRule="exact"/>
              <w:rPr>
                <w:rFonts w:ascii="宋体" w:hAnsi="宋体"/>
                <w:color w:val="auto"/>
                <w:szCs w:val="21"/>
                <w:highlight w:val="none"/>
              </w:rPr>
            </w:pPr>
          </w:p>
        </w:tc>
        <w:tc>
          <w:tcPr>
            <w:tcW w:w="945" w:type="dxa"/>
            <w:noWrap w:val="0"/>
            <w:vAlign w:val="center"/>
          </w:tcPr>
          <w:p>
            <w:pPr>
              <w:spacing w:line="320" w:lineRule="exact"/>
              <w:rPr>
                <w:rFonts w:ascii="宋体" w:hAnsi="宋体"/>
                <w:color w:val="auto"/>
                <w:szCs w:val="21"/>
                <w:highlight w:val="none"/>
              </w:rPr>
            </w:pPr>
          </w:p>
        </w:tc>
        <w:tc>
          <w:tcPr>
            <w:tcW w:w="1050" w:type="dxa"/>
            <w:noWrap w:val="0"/>
            <w:vAlign w:val="center"/>
          </w:tcPr>
          <w:p>
            <w:pPr>
              <w:spacing w:line="320" w:lineRule="exact"/>
              <w:rPr>
                <w:rFonts w:ascii="宋体" w:hAnsi="宋体"/>
                <w:color w:val="auto"/>
                <w:szCs w:val="21"/>
                <w:highlight w:val="none"/>
              </w:rPr>
            </w:pPr>
          </w:p>
        </w:tc>
        <w:tc>
          <w:tcPr>
            <w:tcW w:w="945" w:type="dxa"/>
            <w:noWrap w:val="0"/>
            <w:vAlign w:val="center"/>
          </w:tcPr>
          <w:p>
            <w:pPr>
              <w:spacing w:line="32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trPr>
        <w:tc>
          <w:tcPr>
            <w:tcW w:w="945" w:type="dxa"/>
            <w:noWrap w:val="0"/>
            <w:vAlign w:val="center"/>
          </w:tcPr>
          <w:p>
            <w:pPr>
              <w:spacing w:line="320" w:lineRule="exact"/>
              <w:rPr>
                <w:rFonts w:hint="eastAsia" w:ascii="宋体" w:hAnsi="宋体"/>
                <w:b/>
                <w:color w:val="auto"/>
                <w:highlight w:val="none"/>
              </w:rPr>
            </w:pPr>
          </w:p>
        </w:tc>
        <w:tc>
          <w:tcPr>
            <w:tcW w:w="630" w:type="dxa"/>
            <w:noWrap w:val="0"/>
            <w:vAlign w:val="center"/>
          </w:tcPr>
          <w:p>
            <w:pPr>
              <w:spacing w:line="320" w:lineRule="exact"/>
              <w:jc w:val="center"/>
              <w:rPr>
                <w:rFonts w:hint="eastAsia" w:ascii="宋体" w:hAnsi="宋体"/>
                <w:color w:val="auto"/>
                <w:szCs w:val="21"/>
                <w:highlight w:val="none"/>
              </w:rPr>
            </w:pPr>
          </w:p>
        </w:tc>
        <w:tc>
          <w:tcPr>
            <w:tcW w:w="1575" w:type="dxa"/>
            <w:noWrap w:val="0"/>
            <w:vAlign w:val="center"/>
          </w:tcPr>
          <w:p>
            <w:pPr>
              <w:spacing w:line="320" w:lineRule="exact"/>
              <w:rPr>
                <w:rFonts w:ascii="宋体" w:hAnsi="宋体"/>
                <w:color w:val="auto"/>
                <w:szCs w:val="21"/>
                <w:highlight w:val="none"/>
              </w:rPr>
            </w:pPr>
          </w:p>
        </w:tc>
        <w:tc>
          <w:tcPr>
            <w:tcW w:w="1050" w:type="dxa"/>
            <w:noWrap w:val="0"/>
            <w:vAlign w:val="center"/>
          </w:tcPr>
          <w:p>
            <w:pPr>
              <w:spacing w:line="320" w:lineRule="exact"/>
              <w:rPr>
                <w:rFonts w:ascii="宋体" w:hAnsi="宋体"/>
                <w:color w:val="auto"/>
                <w:szCs w:val="21"/>
                <w:highlight w:val="none"/>
              </w:rPr>
            </w:pPr>
          </w:p>
        </w:tc>
        <w:tc>
          <w:tcPr>
            <w:tcW w:w="840" w:type="dxa"/>
            <w:noWrap w:val="0"/>
            <w:vAlign w:val="center"/>
          </w:tcPr>
          <w:p>
            <w:pPr>
              <w:spacing w:line="320" w:lineRule="exact"/>
              <w:rPr>
                <w:rFonts w:ascii="宋体" w:hAnsi="宋体"/>
                <w:color w:val="auto"/>
                <w:szCs w:val="21"/>
                <w:highlight w:val="none"/>
              </w:rPr>
            </w:pPr>
          </w:p>
        </w:tc>
        <w:tc>
          <w:tcPr>
            <w:tcW w:w="945" w:type="dxa"/>
            <w:noWrap w:val="0"/>
            <w:vAlign w:val="center"/>
          </w:tcPr>
          <w:p>
            <w:pPr>
              <w:spacing w:line="320" w:lineRule="exact"/>
              <w:rPr>
                <w:rFonts w:ascii="宋体" w:hAnsi="宋体"/>
                <w:color w:val="auto"/>
                <w:szCs w:val="21"/>
                <w:highlight w:val="none"/>
              </w:rPr>
            </w:pPr>
          </w:p>
        </w:tc>
        <w:tc>
          <w:tcPr>
            <w:tcW w:w="945" w:type="dxa"/>
            <w:noWrap w:val="0"/>
            <w:vAlign w:val="center"/>
          </w:tcPr>
          <w:p>
            <w:pPr>
              <w:spacing w:line="320" w:lineRule="exact"/>
              <w:rPr>
                <w:rFonts w:ascii="宋体" w:hAnsi="宋体"/>
                <w:color w:val="auto"/>
                <w:szCs w:val="21"/>
                <w:highlight w:val="none"/>
              </w:rPr>
            </w:pPr>
          </w:p>
        </w:tc>
        <w:tc>
          <w:tcPr>
            <w:tcW w:w="1050" w:type="dxa"/>
            <w:noWrap w:val="0"/>
            <w:vAlign w:val="center"/>
          </w:tcPr>
          <w:p>
            <w:pPr>
              <w:spacing w:line="320" w:lineRule="exact"/>
              <w:rPr>
                <w:rFonts w:ascii="宋体" w:hAnsi="宋体"/>
                <w:color w:val="auto"/>
                <w:szCs w:val="21"/>
                <w:highlight w:val="none"/>
              </w:rPr>
            </w:pPr>
          </w:p>
        </w:tc>
        <w:tc>
          <w:tcPr>
            <w:tcW w:w="945" w:type="dxa"/>
            <w:noWrap w:val="0"/>
            <w:vAlign w:val="center"/>
          </w:tcPr>
          <w:p>
            <w:pPr>
              <w:spacing w:line="320" w:lineRule="exact"/>
              <w:rPr>
                <w:rFonts w:ascii="宋体" w:hAnsi="宋体"/>
                <w:color w:val="auto"/>
                <w:szCs w:val="21"/>
                <w:highlight w:val="none"/>
              </w:rPr>
            </w:pPr>
          </w:p>
        </w:tc>
      </w:tr>
    </w:tbl>
    <w:p>
      <w:pPr>
        <w:rPr>
          <w:rFonts w:hint="eastAsia" w:ascii="宋体" w:hAnsi="宋体"/>
          <w:color w:val="auto"/>
          <w:szCs w:val="21"/>
          <w:highlight w:val="none"/>
        </w:rPr>
      </w:pPr>
    </w:p>
    <w:p>
      <w:pPr>
        <w:rPr>
          <w:rFonts w:hint="eastAsia" w:ascii="宋体" w:hAnsi="宋体"/>
          <w:color w:val="auto"/>
          <w:szCs w:val="21"/>
          <w:highlight w:val="none"/>
          <w:u w:val="single"/>
        </w:rPr>
      </w:pPr>
      <w:r>
        <w:rPr>
          <w:rFonts w:hint="eastAsia" w:ascii="宋体" w:hAnsi="宋体"/>
          <w:color w:val="auto"/>
          <w:szCs w:val="21"/>
          <w:highlight w:val="none"/>
        </w:rPr>
        <w:t>投标人（全称并加盖公章）：</w:t>
      </w:r>
      <w:r>
        <w:rPr>
          <w:rFonts w:hint="eastAsia" w:ascii="宋体" w:hAnsi="宋体"/>
          <w:color w:val="auto"/>
          <w:szCs w:val="21"/>
          <w:highlight w:val="none"/>
          <w:u w:val="single"/>
        </w:rPr>
        <w:t xml:space="preserve">                     </w:t>
      </w:r>
      <w:r>
        <w:rPr>
          <w:rFonts w:hint="eastAsia" w:ascii="宋体" w:hAnsi="宋体"/>
          <w:color w:val="auto"/>
          <w:highlight w:val="none"/>
        </w:rPr>
        <w:t xml:space="preserve">  </w:t>
      </w:r>
    </w:p>
    <w:p>
      <w:pPr>
        <w:spacing w:line="380" w:lineRule="exact"/>
        <w:rPr>
          <w:rFonts w:hint="eastAsia" w:ascii="宋体" w:hAnsi="宋体"/>
          <w:b/>
          <w:color w:val="auto"/>
          <w:sz w:val="32"/>
          <w:szCs w:val="32"/>
          <w:highlight w:val="none"/>
        </w:rPr>
      </w:pPr>
      <w:r>
        <w:rPr>
          <w:rFonts w:hint="eastAsia" w:ascii="宋体" w:hAnsi="宋体"/>
          <w:color w:val="auto"/>
          <w:szCs w:val="21"/>
          <w:highlight w:val="none"/>
        </w:rPr>
        <w:t xml:space="preserve">投标人代表签字： </w:t>
      </w:r>
      <w:r>
        <w:rPr>
          <w:rFonts w:hint="eastAsia" w:ascii="宋体" w:hAnsi="宋体"/>
          <w:color w:val="auto"/>
          <w:szCs w:val="21"/>
          <w:highlight w:val="none"/>
          <w:u w:val="single"/>
        </w:rPr>
        <w:t xml:space="preserve">                            </w:t>
      </w:r>
    </w:p>
    <w:p>
      <w:pPr>
        <w:spacing w:line="380" w:lineRule="exact"/>
        <w:jc w:val="center"/>
        <w:rPr>
          <w:rFonts w:hint="eastAsia" w:ascii="宋体" w:hAnsi="宋体"/>
          <w:b/>
          <w:color w:val="auto"/>
          <w:szCs w:val="21"/>
          <w:highlight w:val="none"/>
        </w:rPr>
      </w:pPr>
    </w:p>
    <w:p>
      <w:pPr>
        <w:spacing w:line="380" w:lineRule="exact"/>
        <w:jc w:val="center"/>
        <w:rPr>
          <w:rFonts w:hint="eastAsia" w:ascii="宋体" w:hAnsi="宋体"/>
          <w:b/>
          <w:color w:val="auto"/>
          <w:sz w:val="30"/>
          <w:szCs w:val="30"/>
          <w:highlight w:val="none"/>
        </w:rPr>
      </w:pPr>
      <w:r>
        <w:rPr>
          <w:rFonts w:hint="eastAsia" w:ascii="宋体" w:hAnsi="宋体"/>
          <w:b/>
          <w:color w:val="auto"/>
          <w:sz w:val="30"/>
          <w:szCs w:val="30"/>
          <w:highlight w:val="none"/>
        </w:rPr>
        <w:t>表3-3、备品备件清单（如有）</w:t>
      </w:r>
    </w:p>
    <w:p>
      <w:pPr>
        <w:spacing w:line="380" w:lineRule="exact"/>
        <w:jc w:val="center"/>
        <w:rPr>
          <w:rFonts w:hint="eastAsia" w:ascii="宋体" w:hAnsi="宋体"/>
          <w:b/>
          <w:color w:val="auto"/>
          <w:sz w:val="30"/>
          <w:szCs w:val="30"/>
          <w:highlight w:val="none"/>
        </w:rPr>
      </w:pPr>
    </w:p>
    <w:tbl>
      <w:tblPr>
        <w:tblStyle w:val="14"/>
        <w:tblW w:w="0" w:type="auto"/>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45"/>
        <w:gridCol w:w="630"/>
        <w:gridCol w:w="1470"/>
        <w:gridCol w:w="1680"/>
        <w:gridCol w:w="840"/>
        <w:gridCol w:w="840"/>
        <w:gridCol w:w="840"/>
        <w:gridCol w:w="94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trPr>
        <w:tc>
          <w:tcPr>
            <w:tcW w:w="945" w:type="dxa"/>
            <w:noWrap w:val="0"/>
            <w:vAlign w:val="center"/>
          </w:tcPr>
          <w:p>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合同包/品目号</w:t>
            </w:r>
          </w:p>
        </w:tc>
        <w:tc>
          <w:tcPr>
            <w:tcW w:w="630" w:type="dxa"/>
            <w:noWrap w:val="0"/>
            <w:vAlign w:val="center"/>
          </w:tcPr>
          <w:p>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1470" w:type="dxa"/>
            <w:noWrap w:val="0"/>
            <w:vAlign w:val="center"/>
          </w:tcPr>
          <w:p>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备品备件名称</w:t>
            </w:r>
          </w:p>
        </w:tc>
        <w:tc>
          <w:tcPr>
            <w:tcW w:w="1680" w:type="dxa"/>
            <w:noWrap w:val="0"/>
            <w:vAlign w:val="center"/>
          </w:tcPr>
          <w:p>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品牌、规格、型号</w:t>
            </w:r>
          </w:p>
        </w:tc>
        <w:tc>
          <w:tcPr>
            <w:tcW w:w="840" w:type="dxa"/>
            <w:noWrap w:val="0"/>
            <w:vAlign w:val="center"/>
          </w:tcPr>
          <w:p>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产地</w:t>
            </w:r>
          </w:p>
        </w:tc>
        <w:tc>
          <w:tcPr>
            <w:tcW w:w="840" w:type="dxa"/>
            <w:noWrap w:val="0"/>
            <w:vAlign w:val="center"/>
          </w:tcPr>
          <w:p>
            <w:pPr>
              <w:spacing w:line="380" w:lineRule="exact"/>
              <w:jc w:val="center"/>
              <w:rPr>
                <w:rFonts w:ascii="宋体" w:hAnsi="宋体"/>
                <w:b/>
                <w:color w:val="auto"/>
                <w:szCs w:val="21"/>
                <w:highlight w:val="none"/>
              </w:rPr>
            </w:pPr>
            <w:r>
              <w:rPr>
                <w:rFonts w:hint="eastAsia" w:ascii="宋体" w:hAnsi="宋体"/>
                <w:b/>
                <w:color w:val="auto"/>
                <w:szCs w:val="21"/>
                <w:highlight w:val="none"/>
              </w:rPr>
              <w:t>数量</w:t>
            </w:r>
          </w:p>
        </w:tc>
        <w:tc>
          <w:tcPr>
            <w:tcW w:w="840" w:type="dxa"/>
            <w:noWrap w:val="0"/>
            <w:vAlign w:val="center"/>
          </w:tcPr>
          <w:p>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单价</w:t>
            </w:r>
          </w:p>
        </w:tc>
        <w:tc>
          <w:tcPr>
            <w:tcW w:w="945" w:type="dxa"/>
            <w:noWrap w:val="0"/>
            <w:vAlign w:val="center"/>
          </w:tcPr>
          <w:p>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总价</w:t>
            </w:r>
          </w:p>
        </w:tc>
        <w:tc>
          <w:tcPr>
            <w:tcW w:w="735" w:type="dxa"/>
            <w:noWrap w:val="0"/>
            <w:vAlign w:val="center"/>
          </w:tcPr>
          <w:p>
            <w:pPr>
              <w:spacing w:line="380" w:lineRule="exact"/>
              <w:jc w:val="center"/>
              <w:rPr>
                <w:rFonts w:ascii="宋体" w:hAnsi="宋体"/>
                <w:b/>
                <w:color w:val="auto"/>
                <w:szCs w:val="21"/>
                <w:highlight w:val="none"/>
              </w:rPr>
            </w:pPr>
            <w:r>
              <w:rPr>
                <w:rFonts w:hint="eastAsia" w:ascii="宋体" w:hAnsi="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trPr>
        <w:tc>
          <w:tcPr>
            <w:tcW w:w="945" w:type="dxa"/>
            <w:noWrap w:val="0"/>
            <w:vAlign w:val="center"/>
          </w:tcPr>
          <w:p>
            <w:pPr>
              <w:spacing w:line="320" w:lineRule="exact"/>
              <w:rPr>
                <w:rFonts w:ascii="宋体" w:hAnsi="宋体"/>
                <w:color w:val="auto"/>
                <w:szCs w:val="21"/>
                <w:highlight w:val="none"/>
              </w:rPr>
            </w:pPr>
            <w:r>
              <w:rPr>
                <w:rFonts w:hint="eastAsia" w:ascii="宋体" w:hAnsi="宋体"/>
                <w:b/>
                <w:color w:val="auto"/>
                <w:highlight w:val="none"/>
              </w:rPr>
              <w:t xml:space="preserve"> </w:t>
            </w:r>
          </w:p>
        </w:tc>
        <w:tc>
          <w:tcPr>
            <w:tcW w:w="630" w:type="dxa"/>
            <w:noWrap w:val="0"/>
            <w:vAlign w:val="center"/>
          </w:tcPr>
          <w:p>
            <w:pPr>
              <w:spacing w:line="320" w:lineRule="exact"/>
              <w:jc w:val="center"/>
              <w:rPr>
                <w:rFonts w:hint="eastAsia" w:ascii="宋体" w:hAnsi="宋体"/>
                <w:color w:val="auto"/>
                <w:szCs w:val="21"/>
                <w:highlight w:val="none"/>
              </w:rPr>
            </w:pPr>
          </w:p>
        </w:tc>
        <w:tc>
          <w:tcPr>
            <w:tcW w:w="1470" w:type="dxa"/>
            <w:noWrap w:val="0"/>
            <w:vAlign w:val="center"/>
          </w:tcPr>
          <w:p>
            <w:pPr>
              <w:spacing w:line="320" w:lineRule="exact"/>
              <w:rPr>
                <w:rFonts w:ascii="宋体" w:hAnsi="宋体"/>
                <w:color w:val="auto"/>
                <w:szCs w:val="21"/>
                <w:highlight w:val="none"/>
              </w:rPr>
            </w:pPr>
          </w:p>
        </w:tc>
        <w:tc>
          <w:tcPr>
            <w:tcW w:w="1680" w:type="dxa"/>
            <w:noWrap w:val="0"/>
            <w:vAlign w:val="center"/>
          </w:tcPr>
          <w:p>
            <w:pPr>
              <w:spacing w:line="320" w:lineRule="exact"/>
              <w:rPr>
                <w:rFonts w:ascii="宋体" w:hAnsi="宋体"/>
                <w:color w:val="auto"/>
                <w:szCs w:val="21"/>
                <w:highlight w:val="none"/>
              </w:rPr>
            </w:pPr>
          </w:p>
        </w:tc>
        <w:tc>
          <w:tcPr>
            <w:tcW w:w="840" w:type="dxa"/>
            <w:noWrap w:val="0"/>
            <w:vAlign w:val="center"/>
          </w:tcPr>
          <w:p>
            <w:pPr>
              <w:spacing w:line="320" w:lineRule="exact"/>
              <w:rPr>
                <w:rFonts w:ascii="宋体" w:hAnsi="宋体"/>
                <w:color w:val="auto"/>
                <w:szCs w:val="21"/>
                <w:highlight w:val="none"/>
              </w:rPr>
            </w:pPr>
          </w:p>
        </w:tc>
        <w:tc>
          <w:tcPr>
            <w:tcW w:w="840" w:type="dxa"/>
            <w:noWrap w:val="0"/>
            <w:vAlign w:val="center"/>
          </w:tcPr>
          <w:p>
            <w:pPr>
              <w:spacing w:line="320" w:lineRule="exact"/>
              <w:rPr>
                <w:rFonts w:ascii="宋体" w:hAnsi="宋体"/>
                <w:color w:val="auto"/>
                <w:szCs w:val="21"/>
                <w:highlight w:val="none"/>
              </w:rPr>
            </w:pPr>
          </w:p>
        </w:tc>
        <w:tc>
          <w:tcPr>
            <w:tcW w:w="840" w:type="dxa"/>
            <w:noWrap w:val="0"/>
            <w:vAlign w:val="center"/>
          </w:tcPr>
          <w:p>
            <w:pPr>
              <w:spacing w:line="320" w:lineRule="exact"/>
              <w:rPr>
                <w:rFonts w:ascii="宋体" w:hAnsi="宋体"/>
                <w:color w:val="auto"/>
                <w:szCs w:val="21"/>
                <w:highlight w:val="none"/>
              </w:rPr>
            </w:pPr>
          </w:p>
        </w:tc>
        <w:tc>
          <w:tcPr>
            <w:tcW w:w="945" w:type="dxa"/>
            <w:noWrap w:val="0"/>
            <w:vAlign w:val="center"/>
          </w:tcPr>
          <w:p>
            <w:pPr>
              <w:spacing w:line="320" w:lineRule="exact"/>
              <w:rPr>
                <w:rFonts w:ascii="宋体" w:hAnsi="宋体"/>
                <w:color w:val="auto"/>
                <w:szCs w:val="21"/>
                <w:highlight w:val="none"/>
              </w:rPr>
            </w:pPr>
          </w:p>
        </w:tc>
        <w:tc>
          <w:tcPr>
            <w:tcW w:w="735" w:type="dxa"/>
            <w:noWrap w:val="0"/>
            <w:vAlign w:val="center"/>
          </w:tcPr>
          <w:p>
            <w:pPr>
              <w:spacing w:line="32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trPr>
        <w:tc>
          <w:tcPr>
            <w:tcW w:w="945" w:type="dxa"/>
            <w:noWrap w:val="0"/>
            <w:vAlign w:val="center"/>
          </w:tcPr>
          <w:p>
            <w:pPr>
              <w:spacing w:line="320" w:lineRule="exact"/>
              <w:rPr>
                <w:rFonts w:ascii="宋体" w:hAnsi="宋体"/>
                <w:color w:val="auto"/>
                <w:szCs w:val="21"/>
                <w:highlight w:val="none"/>
              </w:rPr>
            </w:pPr>
          </w:p>
        </w:tc>
        <w:tc>
          <w:tcPr>
            <w:tcW w:w="630" w:type="dxa"/>
            <w:noWrap w:val="0"/>
            <w:vAlign w:val="center"/>
          </w:tcPr>
          <w:p>
            <w:pPr>
              <w:spacing w:line="320" w:lineRule="exact"/>
              <w:jc w:val="center"/>
              <w:rPr>
                <w:rFonts w:hint="eastAsia" w:ascii="宋体" w:hAnsi="宋体"/>
                <w:color w:val="auto"/>
                <w:szCs w:val="21"/>
                <w:highlight w:val="none"/>
              </w:rPr>
            </w:pPr>
          </w:p>
        </w:tc>
        <w:tc>
          <w:tcPr>
            <w:tcW w:w="1470" w:type="dxa"/>
            <w:noWrap w:val="0"/>
            <w:vAlign w:val="center"/>
          </w:tcPr>
          <w:p>
            <w:pPr>
              <w:spacing w:line="320" w:lineRule="exact"/>
              <w:rPr>
                <w:rFonts w:ascii="宋体" w:hAnsi="宋体"/>
                <w:color w:val="auto"/>
                <w:szCs w:val="21"/>
                <w:highlight w:val="none"/>
              </w:rPr>
            </w:pPr>
          </w:p>
        </w:tc>
        <w:tc>
          <w:tcPr>
            <w:tcW w:w="1680" w:type="dxa"/>
            <w:noWrap w:val="0"/>
            <w:vAlign w:val="center"/>
          </w:tcPr>
          <w:p>
            <w:pPr>
              <w:spacing w:line="320" w:lineRule="exact"/>
              <w:rPr>
                <w:rFonts w:ascii="宋体" w:hAnsi="宋体"/>
                <w:color w:val="auto"/>
                <w:szCs w:val="21"/>
                <w:highlight w:val="none"/>
              </w:rPr>
            </w:pPr>
          </w:p>
        </w:tc>
        <w:tc>
          <w:tcPr>
            <w:tcW w:w="840" w:type="dxa"/>
            <w:noWrap w:val="0"/>
            <w:vAlign w:val="center"/>
          </w:tcPr>
          <w:p>
            <w:pPr>
              <w:spacing w:line="320" w:lineRule="exact"/>
              <w:rPr>
                <w:rFonts w:ascii="宋体" w:hAnsi="宋体"/>
                <w:color w:val="auto"/>
                <w:szCs w:val="21"/>
                <w:highlight w:val="none"/>
              </w:rPr>
            </w:pPr>
          </w:p>
        </w:tc>
        <w:tc>
          <w:tcPr>
            <w:tcW w:w="840" w:type="dxa"/>
            <w:noWrap w:val="0"/>
            <w:vAlign w:val="center"/>
          </w:tcPr>
          <w:p>
            <w:pPr>
              <w:spacing w:line="320" w:lineRule="exact"/>
              <w:rPr>
                <w:rFonts w:ascii="宋体" w:hAnsi="宋体"/>
                <w:color w:val="auto"/>
                <w:szCs w:val="21"/>
                <w:highlight w:val="none"/>
              </w:rPr>
            </w:pPr>
          </w:p>
        </w:tc>
        <w:tc>
          <w:tcPr>
            <w:tcW w:w="840" w:type="dxa"/>
            <w:noWrap w:val="0"/>
            <w:vAlign w:val="center"/>
          </w:tcPr>
          <w:p>
            <w:pPr>
              <w:spacing w:line="320" w:lineRule="exact"/>
              <w:rPr>
                <w:rFonts w:ascii="宋体" w:hAnsi="宋体"/>
                <w:color w:val="auto"/>
                <w:szCs w:val="21"/>
                <w:highlight w:val="none"/>
              </w:rPr>
            </w:pPr>
          </w:p>
        </w:tc>
        <w:tc>
          <w:tcPr>
            <w:tcW w:w="945" w:type="dxa"/>
            <w:noWrap w:val="0"/>
            <w:vAlign w:val="center"/>
          </w:tcPr>
          <w:p>
            <w:pPr>
              <w:spacing w:line="320" w:lineRule="exact"/>
              <w:rPr>
                <w:rFonts w:ascii="宋体" w:hAnsi="宋体"/>
                <w:color w:val="auto"/>
                <w:szCs w:val="21"/>
                <w:highlight w:val="none"/>
              </w:rPr>
            </w:pPr>
          </w:p>
        </w:tc>
        <w:tc>
          <w:tcPr>
            <w:tcW w:w="735" w:type="dxa"/>
            <w:noWrap w:val="0"/>
            <w:vAlign w:val="center"/>
          </w:tcPr>
          <w:p>
            <w:pPr>
              <w:spacing w:line="32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trPr>
        <w:tc>
          <w:tcPr>
            <w:tcW w:w="945" w:type="dxa"/>
            <w:noWrap w:val="0"/>
            <w:vAlign w:val="center"/>
          </w:tcPr>
          <w:p>
            <w:pPr>
              <w:spacing w:line="320" w:lineRule="exact"/>
              <w:rPr>
                <w:rFonts w:hint="eastAsia" w:ascii="宋体" w:hAnsi="宋体"/>
                <w:b/>
                <w:color w:val="auto"/>
                <w:highlight w:val="none"/>
              </w:rPr>
            </w:pPr>
          </w:p>
        </w:tc>
        <w:tc>
          <w:tcPr>
            <w:tcW w:w="630" w:type="dxa"/>
            <w:noWrap w:val="0"/>
            <w:vAlign w:val="center"/>
          </w:tcPr>
          <w:p>
            <w:pPr>
              <w:spacing w:line="320" w:lineRule="exact"/>
              <w:jc w:val="center"/>
              <w:rPr>
                <w:rFonts w:hint="eastAsia" w:ascii="宋体" w:hAnsi="宋体"/>
                <w:color w:val="auto"/>
                <w:szCs w:val="21"/>
                <w:highlight w:val="none"/>
              </w:rPr>
            </w:pPr>
          </w:p>
        </w:tc>
        <w:tc>
          <w:tcPr>
            <w:tcW w:w="1470" w:type="dxa"/>
            <w:noWrap w:val="0"/>
            <w:vAlign w:val="center"/>
          </w:tcPr>
          <w:p>
            <w:pPr>
              <w:spacing w:line="320" w:lineRule="exact"/>
              <w:rPr>
                <w:rFonts w:ascii="宋体" w:hAnsi="宋体"/>
                <w:color w:val="auto"/>
                <w:szCs w:val="21"/>
                <w:highlight w:val="none"/>
              </w:rPr>
            </w:pPr>
          </w:p>
        </w:tc>
        <w:tc>
          <w:tcPr>
            <w:tcW w:w="1680" w:type="dxa"/>
            <w:noWrap w:val="0"/>
            <w:vAlign w:val="center"/>
          </w:tcPr>
          <w:p>
            <w:pPr>
              <w:spacing w:line="320" w:lineRule="exact"/>
              <w:rPr>
                <w:rFonts w:ascii="宋体" w:hAnsi="宋体"/>
                <w:color w:val="auto"/>
                <w:szCs w:val="21"/>
                <w:highlight w:val="none"/>
              </w:rPr>
            </w:pPr>
          </w:p>
        </w:tc>
        <w:tc>
          <w:tcPr>
            <w:tcW w:w="840" w:type="dxa"/>
            <w:noWrap w:val="0"/>
            <w:vAlign w:val="center"/>
          </w:tcPr>
          <w:p>
            <w:pPr>
              <w:spacing w:line="320" w:lineRule="exact"/>
              <w:rPr>
                <w:rFonts w:ascii="宋体" w:hAnsi="宋体"/>
                <w:color w:val="auto"/>
                <w:szCs w:val="21"/>
                <w:highlight w:val="none"/>
              </w:rPr>
            </w:pPr>
          </w:p>
        </w:tc>
        <w:tc>
          <w:tcPr>
            <w:tcW w:w="840" w:type="dxa"/>
            <w:noWrap w:val="0"/>
            <w:vAlign w:val="center"/>
          </w:tcPr>
          <w:p>
            <w:pPr>
              <w:spacing w:line="320" w:lineRule="exact"/>
              <w:rPr>
                <w:rFonts w:ascii="宋体" w:hAnsi="宋体"/>
                <w:color w:val="auto"/>
                <w:szCs w:val="21"/>
                <w:highlight w:val="none"/>
              </w:rPr>
            </w:pPr>
          </w:p>
        </w:tc>
        <w:tc>
          <w:tcPr>
            <w:tcW w:w="840" w:type="dxa"/>
            <w:noWrap w:val="0"/>
            <w:vAlign w:val="center"/>
          </w:tcPr>
          <w:p>
            <w:pPr>
              <w:spacing w:line="320" w:lineRule="exact"/>
              <w:rPr>
                <w:rFonts w:ascii="宋体" w:hAnsi="宋体"/>
                <w:color w:val="auto"/>
                <w:szCs w:val="21"/>
                <w:highlight w:val="none"/>
              </w:rPr>
            </w:pPr>
          </w:p>
        </w:tc>
        <w:tc>
          <w:tcPr>
            <w:tcW w:w="945" w:type="dxa"/>
            <w:noWrap w:val="0"/>
            <w:vAlign w:val="center"/>
          </w:tcPr>
          <w:p>
            <w:pPr>
              <w:spacing w:line="320" w:lineRule="exact"/>
              <w:rPr>
                <w:rFonts w:ascii="宋体" w:hAnsi="宋体"/>
                <w:color w:val="auto"/>
                <w:szCs w:val="21"/>
                <w:highlight w:val="none"/>
              </w:rPr>
            </w:pPr>
          </w:p>
        </w:tc>
        <w:tc>
          <w:tcPr>
            <w:tcW w:w="735" w:type="dxa"/>
            <w:noWrap w:val="0"/>
            <w:vAlign w:val="center"/>
          </w:tcPr>
          <w:p>
            <w:pPr>
              <w:spacing w:line="32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0" w:hRule="atLeast"/>
        </w:trPr>
        <w:tc>
          <w:tcPr>
            <w:tcW w:w="945" w:type="dxa"/>
            <w:noWrap w:val="0"/>
            <w:vAlign w:val="center"/>
          </w:tcPr>
          <w:p>
            <w:pPr>
              <w:spacing w:line="320" w:lineRule="exact"/>
              <w:rPr>
                <w:rFonts w:hint="eastAsia" w:ascii="宋体" w:hAnsi="宋体"/>
                <w:b/>
                <w:color w:val="auto"/>
                <w:highlight w:val="none"/>
              </w:rPr>
            </w:pPr>
          </w:p>
        </w:tc>
        <w:tc>
          <w:tcPr>
            <w:tcW w:w="630" w:type="dxa"/>
            <w:noWrap w:val="0"/>
            <w:vAlign w:val="center"/>
          </w:tcPr>
          <w:p>
            <w:pPr>
              <w:spacing w:line="320" w:lineRule="exact"/>
              <w:jc w:val="center"/>
              <w:rPr>
                <w:rFonts w:hint="eastAsia" w:ascii="宋体" w:hAnsi="宋体"/>
                <w:color w:val="auto"/>
                <w:szCs w:val="21"/>
                <w:highlight w:val="none"/>
              </w:rPr>
            </w:pPr>
          </w:p>
        </w:tc>
        <w:tc>
          <w:tcPr>
            <w:tcW w:w="1470" w:type="dxa"/>
            <w:noWrap w:val="0"/>
            <w:vAlign w:val="center"/>
          </w:tcPr>
          <w:p>
            <w:pPr>
              <w:spacing w:line="320" w:lineRule="exact"/>
              <w:rPr>
                <w:rFonts w:ascii="宋体" w:hAnsi="宋体"/>
                <w:color w:val="auto"/>
                <w:szCs w:val="21"/>
                <w:highlight w:val="none"/>
              </w:rPr>
            </w:pPr>
          </w:p>
        </w:tc>
        <w:tc>
          <w:tcPr>
            <w:tcW w:w="1680" w:type="dxa"/>
            <w:noWrap w:val="0"/>
            <w:vAlign w:val="center"/>
          </w:tcPr>
          <w:p>
            <w:pPr>
              <w:spacing w:line="320" w:lineRule="exact"/>
              <w:rPr>
                <w:rFonts w:ascii="宋体" w:hAnsi="宋体"/>
                <w:color w:val="auto"/>
                <w:szCs w:val="21"/>
                <w:highlight w:val="none"/>
              </w:rPr>
            </w:pPr>
          </w:p>
        </w:tc>
        <w:tc>
          <w:tcPr>
            <w:tcW w:w="840" w:type="dxa"/>
            <w:noWrap w:val="0"/>
            <w:vAlign w:val="center"/>
          </w:tcPr>
          <w:p>
            <w:pPr>
              <w:spacing w:line="320" w:lineRule="exact"/>
              <w:rPr>
                <w:rFonts w:ascii="宋体" w:hAnsi="宋体"/>
                <w:color w:val="auto"/>
                <w:szCs w:val="21"/>
                <w:highlight w:val="none"/>
              </w:rPr>
            </w:pPr>
          </w:p>
        </w:tc>
        <w:tc>
          <w:tcPr>
            <w:tcW w:w="840" w:type="dxa"/>
            <w:noWrap w:val="0"/>
            <w:vAlign w:val="center"/>
          </w:tcPr>
          <w:p>
            <w:pPr>
              <w:spacing w:line="320" w:lineRule="exact"/>
              <w:rPr>
                <w:rFonts w:ascii="宋体" w:hAnsi="宋体"/>
                <w:color w:val="auto"/>
                <w:szCs w:val="21"/>
                <w:highlight w:val="none"/>
              </w:rPr>
            </w:pPr>
          </w:p>
        </w:tc>
        <w:tc>
          <w:tcPr>
            <w:tcW w:w="840" w:type="dxa"/>
            <w:noWrap w:val="0"/>
            <w:vAlign w:val="center"/>
          </w:tcPr>
          <w:p>
            <w:pPr>
              <w:spacing w:line="320" w:lineRule="exact"/>
              <w:rPr>
                <w:rFonts w:ascii="宋体" w:hAnsi="宋体"/>
                <w:color w:val="auto"/>
                <w:szCs w:val="21"/>
                <w:highlight w:val="none"/>
              </w:rPr>
            </w:pPr>
          </w:p>
        </w:tc>
        <w:tc>
          <w:tcPr>
            <w:tcW w:w="945" w:type="dxa"/>
            <w:noWrap w:val="0"/>
            <w:vAlign w:val="center"/>
          </w:tcPr>
          <w:p>
            <w:pPr>
              <w:spacing w:line="320" w:lineRule="exact"/>
              <w:rPr>
                <w:rFonts w:ascii="宋体" w:hAnsi="宋体"/>
                <w:color w:val="auto"/>
                <w:szCs w:val="21"/>
                <w:highlight w:val="none"/>
              </w:rPr>
            </w:pPr>
          </w:p>
        </w:tc>
        <w:tc>
          <w:tcPr>
            <w:tcW w:w="735" w:type="dxa"/>
            <w:noWrap w:val="0"/>
            <w:vAlign w:val="center"/>
          </w:tcPr>
          <w:p>
            <w:pPr>
              <w:spacing w:line="32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trPr>
        <w:tc>
          <w:tcPr>
            <w:tcW w:w="945" w:type="dxa"/>
            <w:noWrap w:val="0"/>
            <w:vAlign w:val="center"/>
          </w:tcPr>
          <w:p>
            <w:pPr>
              <w:spacing w:line="320" w:lineRule="exact"/>
              <w:rPr>
                <w:rFonts w:hint="eastAsia" w:ascii="宋体" w:hAnsi="宋体"/>
                <w:b/>
                <w:color w:val="auto"/>
                <w:highlight w:val="none"/>
              </w:rPr>
            </w:pPr>
          </w:p>
        </w:tc>
        <w:tc>
          <w:tcPr>
            <w:tcW w:w="630" w:type="dxa"/>
            <w:noWrap w:val="0"/>
            <w:vAlign w:val="center"/>
          </w:tcPr>
          <w:p>
            <w:pPr>
              <w:spacing w:line="320" w:lineRule="exact"/>
              <w:jc w:val="center"/>
              <w:rPr>
                <w:rFonts w:hint="eastAsia" w:ascii="宋体" w:hAnsi="宋体"/>
                <w:color w:val="auto"/>
                <w:szCs w:val="21"/>
                <w:highlight w:val="none"/>
              </w:rPr>
            </w:pPr>
          </w:p>
        </w:tc>
        <w:tc>
          <w:tcPr>
            <w:tcW w:w="1470" w:type="dxa"/>
            <w:noWrap w:val="0"/>
            <w:vAlign w:val="center"/>
          </w:tcPr>
          <w:p>
            <w:pPr>
              <w:spacing w:line="320" w:lineRule="exact"/>
              <w:rPr>
                <w:rFonts w:ascii="宋体" w:hAnsi="宋体"/>
                <w:color w:val="auto"/>
                <w:szCs w:val="21"/>
                <w:highlight w:val="none"/>
              </w:rPr>
            </w:pPr>
          </w:p>
        </w:tc>
        <w:tc>
          <w:tcPr>
            <w:tcW w:w="1680" w:type="dxa"/>
            <w:noWrap w:val="0"/>
            <w:vAlign w:val="center"/>
          </w:tcPr>
          <w:p>
            <w:pPr>
              <w:spacing w:line="320" w:lineRule="exact"/>
              <w:rPr>
                <w:rFonts w:ascii="宋体" w:hAnsi="宋体"/>
                <w:color w:val="auto"/>
                <w:szCs w:val="21"/>
                <w:highlight w:val="none"/>
              </w:rPr>
            </w:pPr>
          </w:p>
        </w:tc>
        <w:tc>
          <w:tcPr>
            <w:tcW w:w="840" w:type="dxa"/>
            <w:noWrap w:val="0"/>
            <w:vAlign w:val="center"/>
          </w:tcPr>
          <w:p>
            <w:pPr>
              <w:spacing w:line="320" w:lineRule="exact"/>
              <w:rPr>
                <w:rFonts w:ascii="宋体" w:hAnsi="宋体"/>
                <w:color w:val="auto"/>
                <w:szCs w:val="21"/>
                <w:highlight w:val="none"/>
              </w:rPr>
            </w:pPr>
          </w:p>
        </w:tc>
        <w:tc>
          <w:tcPr>
            <w:tcW w:w="840" w:type="dxa"/>
            <w:noWrap w:val="0"/>
            <w:vAlign w:val="center"/>
          </w:tcPr>
          <w:p>
            <w:pPr>
              <w:spacing w:line="320" w:lineRule="exact"/>
              <w:rPr>
                <w:rFonts w:ascii="宋体" w:hAnsi="宋体"/>
                <w:color w:val="auto"/>
                <w:szCs w:val="21"/>
                <w:highlight w:val="none"/>
              </w:rPr>
            </w:pPr>
          </w:p>
        </w:tc>
        <w:tc>
          <w:tcPr>
            <w:tcW w:w="840" w:type="dxa"/>
            <w:noWrap w:val="0"/>
            <w:vAlign w:val="center"/>
          </w:tcPr>
          <w:p>
            <w:pPr>
              <w:spacing w:line="320" w:lineRule="exact"/>
              <w:rPr>
                <w:rFonts w:ascii="宋体" w:hAnsi="宋体"/>
                <w:color w:val="auto"/>
                <w:szCs w:val="21"/>
                <w:highlight w:val="none"/>
              </w:rPr>
            </w:pPr>
          </w:p>
        </w:tc>
        <w:tc>
          <w:tcPr>
            <w:tcW w:w="945" w:type="dxa"/>
            <w:noWrap w:val="0"/>
            <w:vAlign w:val="center"/>
          </w:tcPr>
          <w:p>
            <w:pPr>
              <w:spacing w:line="320" w:lineRule="exact"/>
              <w:rPr>
                <w:rFonts w:ascii="宋体" w:hAnsi="宋体"/>
                <w:color w:val="auto"/>
                <w:szCs w:val="21"/>
                <w:highlight w:val="none"/>
              </w:rPr>
            </w:pPr>
          </w:p>
        </w:tc>
        <w:tc>
          <w:tcPr>
            <w:tcW w:w="735" w:type="dxa"/>
            <w:noWrap w:val="0"/>
            <w:vAlign w:val="center"/>
          </w:tcPr>
          <w:p>
            <w:pPr>
              <w:spacing w:line="32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trPr>
        <w:tc>
          <w:tcPr>
            <w:tcW w:w="945" w:type="dxa"/>
            <w:noWrap w:val="0"/>
            <w:vAlign w:val="center"/>
          </w:tcPr>
          <w:p>
            <w:pPr>
              <w:spacing w:line="320" w:lineRule="exact"/>
              <w:rPr>
                <w:rFonts w:hint="eastAsia" w:ascii="宋体" w:hAnsi="宋体"/>
                <w:b/>
                <w:color w:val="auto"/>
                <w:highlight w:val="none"/>
              </w:rPr>
            </w:pPr>
          </w:p>
        </w:tc>
        <w:tc>
          <w:tcPr>
            <w:tcW w:w="630" w:type="dxa"/>
            <w:noWrap w:val="0"/>
            <w:vAlign w:val="center"/>
          </w:tcPr>
          <w:p>
            <w:pPr>
              <w:spacing w:line="320" w:lineRule="exact"/>
              <w:jc w:val="center"/>
              <w:rPr>
                <w:rFonts w:hint="eastAsia" w:ascii="宋体" w:hAnsi="宋体"/>
                <w:color w:val="auto"/>
                <w:szCs w:val="21"/>
                <w:highlight w:val="none"/>
              </w:rPr>
            </w:pPr>
          </w:p>
        </w:tc>
        <w:tc>
          <w:tcPr>
            <w:tcW w:w="1470" w:type="dxa"/>
            <w:noWrap w:val="0"/>
            <w:vAlign w:val="center"/>
          </w:tcPr>
          <w:p>
            <w:pPr>
              <w:spacing w:line="320" w:lineRule="exact"/>
              <w:rPr>
                <w:rFonts w:ascii="宋体" w:hAnsi="宋体"/>
                <w:color w:val="auto"/>
                <w:szCs w:val="21"/>
                <w:highlight w:val="none"/>
              </w:rPr>
            </w:pPr>
          </w:p>
        </w:tc>
        <w:tc>
          <w:tcPr>
            <w:tcW w:w="1680" w:type="dxa"/>
            <w:noWrap w:val="0"/>
            <w:vAlign w:val="center"/>
          </w:tcPr>
          <w:p>
            <w:pPr>
              <w:spacing w:line="320" w:lineRule="exact"/>
              <w:rPr>
                <w:rFonts w:ascii="宋体" w:hAnsi="宋体"/>
                <w:color w:val="auto"/>
                <w:szCs w:val="21"/>
                <w:highlight w:val="none"/>
              </w:rPr>
            </w:pPr>
          </w:p>
        </w:tc>
        <w:tc>
          <w:tcPr>
            <w:tcW w:w="840" w:type="dxa"/>
            <w:noWrap w:val="0"/>
            <w:vAlign w:val="center"/>
          </w:tcPr>
          <w:p>
            <w:pPr>
              <w:spacing w:line="320" w:lineRule="exact"/>
              <w:rPr>
                <w:rFonts w:ascii="宋体" w:hAnsi="宋体"/>
                <w:color w:val="auto"/>
                <w:szCs w:val="21"/>
                <w:highlight w:val="none"/>
              </w:rPr>
            </w:pPr>
          </w:p>
        </w:tc>
        <w:tc>
          <w:tcPr>
            <w:tcW w:w="840" w:type="dxa"/>
            <w:noWrap w:val="0"/>
            <w:vAlign w:val="center"/>
          </w:tcPr>
          <w:p>
            <w:pPr>
              <w:spacing w:line="320" w:lineRule="exact"/>
              <w:rPr>
                <w:rFonts w:ascii="宋体" w:hAnsi="宋体"/>
                <w:color w:val="auto"/>
                <w:szCs w:val="21"/>
                <w:highlight w:val="none"/>
              </w:rPr>
            </w:pPr>
          </w:p>
        </w:tc>
        <w:tc>
          <w:tcPr>
            <w:tcW w:w="840" w:type="dxa"/>
            <w:noWrap w:val="0"/>
            <w:vAlign w:val="center"/>
          </w:tcPr>
          <w:p>
            <w:pPr>
              <w:spacing w:line="320" w:lineRule="exact"/>
              <w:rPr>
                <w:rFonts w:ascii="宋体" w:hAnsi="宋体"/>
                <w:color w:val="auto"/>
                <w:szCs w:val="21"/>
                <w:highlight w:val="none"/>
              </w:rPr>
            </w:pPr>
          </w:p>
        </w:tc>
        <w:tc>
          <w:tcPr>
            <w:tcW w:w="945" w:type="dxa"/>
            <w:noWrap w:val="0"/>
            <w:vAlign w:val="center"/>
          </w:tcPr>
          <w:p>
            <w:pPr>
              <w:spacing w:line="320" w:lineRule="exact"/>
              <w:rPr>
                <w:rFonts w:ascii="宋体" w:hAnsi="宋体"/>
                <w:color w:val="auto"/>
                <w:szCs w:val="21"/>
                <w:highlight w:val="none"/>
              </w:rPr>
            </w:pPr>
          </w:p>
        </w:tc>
        <w:tc>
          <w:tcPr>
            <w:tcW w:w="735" w:type="dxa"/>
            <w:noWrap w:val="0"/>
            <w:vAlign w:val="center"/>
          </w:tcPr>
          <w:p>
            <w:pPr>
              <w:spacing w:line="320" w:lineRule="exact"/>
              <w:rPr>
                <w:rFonts w:ascii="宋体" w:hAnsi="宋体"/>
                <w:color w:val="auto"/>
                <w:szCs w:val="21"/>
                <w:highlight w:val="none"/>
              </w:rPr>
            </w:pPr>
          </w:p>
        </w:tc>
      </w:tr>
    </w:tbl>
    <w:p>
      <w:pPr>
        <w:spacing w:line="380" w:lineRule="exact"/>
        <w:jc w:val="center"/>
        <w:rPr>
          <w:rFonts w:hint="eastAsia" w:ascii="宋体" w:hAnsi="宋体"/>
          <w:b/>
          <w:color w:val="auto"/>
          <w:sz w:val="30"/>
          <w:szCs w:val="30"/>
          <w:highlight w:val="none"/>
        </w:rPr>
      </w:pPr>
    </w:p>
    <w:p>
      <w:pPr>
        <w:rPr>
          <w:rFonts w:hint="eastAsia" w:ascii="宋体" w:hAnsi="宋体"/>
          <w:color w:val="auto"/>
          <w:szCs w:val="21"/>
          <w:highlight w:val="none"/>
        </w:rPr>
      </w:pPr>
    </w:p>
    <w:p>
      <w:pPr>
        <w:rPr>
          <w:rFonts w:hint="eastAsia" w:ascii="宋体" w:hAnsi="宋体"/>
          <w:color w:val="auto"/>
          <w:szCs w:val="21"/>
          <w:highlight w:val="none"/>
          <w:u w:val="single"/>
        </w:rPr>
      </w:pPr>
      <w:r>
        <w:rPr>
          <w:rFonts w:hint="eastAsia" w:ascii="宋体" w:hAnsi="宋体"/>
          <w:color w:val="auto"/>
          <w:szCs w:val="21"/>
          <w:highlight w:val="none"/>
        </w:rPr>
        <w:t>投标人（全称并加盖公章）：</w:t>
      </w:r>
      <w:r>
        <w:rPr>
          <w:rFonts w:hint="eastAsia" w:ascii="宋体" w:hAnsi="宋体"/>
          <w:color w:val="auto"/>
          <w:szCs w:val="21"/>
          <w:highlight w:val="none"/>
          <w:u w:val="single"/>
        </w:rPr>
        <w:t xml:space="preserve">                     </w:t>
      </w:r>
      <w:r>
        <w:rPr>
          <w:rFonts w:hint="eastAsia" w:ascii="宋体" w:hAnsi="宋体"/>
          <w:color w:val="auto"/>
          <w:highlight w:val="none"/>
        </w:rPr>
        <w:t xml:space="preserve">  </w:t>
      </w:r>
    </w:p>
    <w:p>
      <w:pPr>
        <w:spacing w:line="380" w:lineRule="exact"/>
        <w:rPr>
          <w:rFonts w:hint="eastAsia" w:ascii="宋体" w:hAnsi="宋体"/>
          <w:b/>
          <w:color w:val="auto"/>
          <w:sz w:val="32"/>
          <w:szCs w:val="32"/>
          <w:highlight w:val="none"/>
        </w:rPr>
      </w:pPr>
      <w:r>
        <w:rPr>
          <w:rFonts w:hint="eastAsia" w:ascii="宋体" w:hAnsi="宋体"/>
          <w:color w:val="auto"/>
          <w:szCs w:val="21"/>
          <w:highlight w:val="none"/>
        </w:rPr>
        <w:t xml:space="preserve">投标人代表签字： </w:t>
      </w:r>
      <w:r>
        <w:rPr>
          <w:rFonts w:hint="eastAsia" w:ascii="宋体" w:hAnsi="宋体"/>
          <w:color w:val="auto"/>
          <w:szCs w:val="21"/>
          <w:highlight w:val="none"/>
          <w:u w:val="single"/>
        </w:rPr>
        <w:t xml:space="preserve">                            </w:t>
      </w:r>
    </w:p>
    <w:p>
      <w:pPr>
        <w:spacing w:line="380" w:lineRule="exact"/>
        <w:jc w:val="center"/>
        <w:rPr>
          <w:rFonts w:hint="eastAsia" w:ascii="宋体" w:hAnsi="宋体"/>
          <w:b/>
          <w:color w:val="auto"/>
          <w:sz w:val="30"/>
          <w:szCs w:val="30"/>
          <w:highlight w:val="none"/>
        </w:rPr>
      </w:pPr>
    </w:p>
    <w:p>
      <w:pPr>
        <w:spacing w:line="380" w:lineRule="exact"/>
        <w:jc w:val="center"/>
        <w:rPr>
          <w:rFonts w:hint="eastAsia" w:ascii="宋体" w:hAnsi="宋体"/>
          <w:b/>
          <w:color w:val="auto"/>
          <w:sz w:val="30"/>
          <w:szCs w:val="30"/>
          <w:highlight w:val="none"/>
        </w:rPr>
      </w:pPr>
      <w:r>
        <w:rPr>
          <w:rFonts w:hint="eastAsia" w:ascii="宋体" w:hAnsi="宋体"/>
          <w:b/>
          <w:color w:val="auto"/>
          <w:sz w:val="30"/>
          <w:szCs w:val="30"/>
          <w:highlight w:val="none"/>
        </w:rPr>
        <w:t>表3-4、耗材清单（如有）</w:t>
      </w:r>
    </w:p>
    <w:tbl>
      <w:tblPr>
        <w:tblStyle w:val="14"/>
        <w:tblW w:w="0" w:type="auto"/>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45"/>
        <w:gridCol w:w="630"/>
        <w:gridCol w:w="1470"/>
        <w:gridCol w:w="1680"/>
        <w:gridCol w:w="1050"/>
        <w:gridCol w:w="630"/>
        <w:gridCol w:w="840"/>
        <w:gridCol w:w="94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trPr>
        <w:tc>
          <w:tcPr>
            <w:tcW w:w="945" w:type="dxa"/>
            <w:noWrap w:val="0"/>
            <w:vAlign w:val="center"/>
          </w:tcPr>
          <w:p>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合同包/品目号</w:t>
            </w:r>
          </w:p>
        </w:tc>
        <w:tc>
          <w:tcPr>
            <w:tcW w:w="630" w:type="dxa"/>
            <w:noWrap w:val="0"/>
            <w:vAlign w:val="center"/>
          </w:tcPr>
          <w:p>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1470" w:type="dxa"/>
            <w:noWrap w:val="0"/>
            <w:vAlign w:val="center"/>
          </w:tcPr>
          <w:p>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耗材、试剂名称</w:t>
            </w:r>
          </w:p>
        </w:tc>
        <w:tc>
          <w:tcPr>
            <w:tcW w:w="1680" w:type="dxa"/>
            <w:noWrap w:val="0"/>
            <w:vAlign w:val="center"/>
          </w:tcPr>
          <w:p>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品牌、规格、型号</w:t>
            </w:r>
          </w:p>
        </w:tc>
        <w:tc>
          <w:tcPr>
            <w:tcW w:w="1050" w:type="dxa"/>
            <w:noWrap w:val="0"/>
            <w:vAlign w:val="center"/>
          </w:tcPr>
          <w:p>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产地</w:t>
            </w:r>
          </w:p>
        </w:tc>
        <w:tc>
          <w:tcPr>
            <w:tcW w:w="630" w:type="dxa"/>
            <w:noWrap w:val="0"/>
            <w:vAlign w:val="center"/>
          </w:tcPr>
          <w:p>
            <w:pPr>
              <w:spacing w:line="380" w:lineRule="exact"/>
              <w:jc w:val="center"/>
              <w:rPr>
                <w:rFonts w:ascii="宋体" w:hAnsi="宋体"/>
                <w:b/>
                <w:color w:val="auto"/>
                <w:szCs w:val="21"/>
                <w:highlight w:val="none"/>
              </w:rPr>
            </w:pPr>
            <w:r>
              <w:rPr>
                <w:rFonts w:hint="eastAsia" w:ascii="宋体" w:hAnsi="宋体"/>
                <w:b/>
                <w:color w:val="auto"/>
                <w:szCs w:val="21"/>
                <w:highlight w:val="none"/>
              </w:rPr>
              <w:t>数量</w:t>
            </w:r>
          </w:p>
        </w:tc>
        <w:tc>
          <w:tcPr>
            <w:tcW w:w="840" w:type="dxa"/>
            <w:noWrap w:val="0"/>
            <w:vAlign w:val="center"/>
          </w:tcPr>
          <w:p>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单价</w:t>
            </w:r>
          </w:p>
        </w:tc>
        <w:tc>
          <w:tcPr>
            <w:tcW w:w="945" w:type="dxa"/>
            <w:noWrap w:val="0"/>
            <w:vAlign w:val="center"/>
          </w:tcPr>
          <w:p>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总价</w:t>
            </w:r>
          </w:p>
        </w:tc>
        <w:tc>
          <w:tcPr>
            <w:tcW w:w="735" w:type="dxa"/>
            <w:noWrap w:val="0"/>
            <w:vAlign w:val="center"/>
          </w:tcPr>
          <w:p>
            <w:pPr>
              <w:spacing w:line="380" w:lineRule="exact"/>
              <w:jc w:val="center"/>
              <w:rPr>
                <w:rFonts w:ascii="宋体" w:hAnsi="宋体"/>
                <w:b/>
                <w:color w:val="auto"/>
                <w:szCs w:val="21"/>
                <w:highlight w:val="none"/>
              </w:rPr>
            </w:pPr>
            <w:r>
              <w:rPr>
                <w:rFonts w:hint="eastAsia" w:ascii="宋体" w:hAnsi="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trPr>
        <w:tc>
          <w:tcPr>
            <w:tcW w:w="945" w:type="dxa"/>
            <w:noWrap w:val="0"/>
            <w:vAlign w:val="center"/>
          </w:tcPr>
          <w:p>
            <w:pPr>
              <w:spacing w:line="320" w:lineRule="exact"/>
              <w:rPr>
                <w:rFonts w:hint="eastAsia" w:ascii="宋体" w:hAnsi="宋体"/>
                <w:color w:val="auto"/>
                <w:szCs w:val="21"/>
                <w:highlight w:val="none"/>
              </w:rPr>
            </w:pPr>
          </w:p>
        </w:tc>
        <w:tc>
          <w:tcPr>
            <w:tcW w:w="630" w:type="dxa"/>
            <w:noWrap w:val="0"/>
            <w:vAlign w:val="center"/>
          </w:tcPr>
          <w:p>
            <w:pPr>
              <w:spacing w:line="320" w:lineRule="exact"/>
              <w:jc w:val="center"/>
              <w:rPr>
                <w:rFonts w:hint="eastAsia" w:ascii="宋体" w:hAnsi="宋体"/>
                <w:color w:val="auto"/>
                <w:szCs w:val="21"/>
                <w:highlight w:val="none"/>
              </w:rPr>
            </w:pPr>
          </w:p>
        </w:tc>
        <w:tc>
          <w:tcPr>
            <w:tcW w:w="1470" w:type="dxa"/>
            <w:noWrap w:val="0"/>
            <w:vAlign w:val="center"/>
          </w:tcPr>
          <w:p>
            <w:pPr>
              <w:spacing w:line="320" w:lineRule="exact"/>
              <w:rPr>
                <w:rFonts w:ascii="宋体" w:hAnsi="宋体"/>
                <w:color w:val="auto"/>
                <w:szCs w:val="21"/>
                <w:highlight w:val="none"/>
              </w:rPr>
            </w:pPr>
          </w:p>
        </w:tc>
        <w:tc>
          <w:tcPr>
            <w:tcW w:w="1680" w:type="dxa"/>
            <w:noWrap w:val="0"/>
            <w:vAlign w:val="center"/>
          </w:tcPr>
          <w:p>
            <w:pPr>
              <w:spacing w:line="320" w:lineRule="exact"/>
              <w:rPr>
                <w:rFonts w:ascii="宋体" w:hAnsi="宋体"/>
                <w:color w:val="auto"/>
                <w:szCs w:val="21"/>
                <w:highlight w:val="none"/>
              </w:rPr>
            </w:pPr>
          </w:p>
        </w:tc>
        <w:tc>
          <w:tcPr>
            <w:tcW w:w="1050" w:type="dxa"/>
            <w:noWrap w:val="0"/>
            <w:vAlign w:val="center"/>
          </w:tcPr>
          <w:p>
            <w:pPr>
              <w:spacing w:line="320" w:lineRule="exact"/>
              <w:rPr>
                <w:rFonts w:ascii="宋体" w:hAnsi="宋体"/>
                <w:color w:val="auto"/>
                <w:szCs w:val="21"/>
                <w:highlight w:val="none"/>
              </w:rPr>
            </w:pPr>
          </w:p>
        </w:tc>
        <w:tc>
          <w:tcPr>
            <w:tcW w:w="630" w:type="dxa"/>
            <w:noWrap w:val="0"/>
            <w:vAlign w:val="center"/>
          </w:tcPr>
          <w:p>
            <w:pPr>
              <w:spacing w:line="320" w:lineRule="exact"/>
              <w:rPr>
                <w:rFonts w:ascii="宋体" w:hAnsi="宋体"/>
                <w:color w:val="auto"/>
                <w:szCs w:val="21"/>
                <w:highlight w:val="none"/>
              </w:rPr>
            </w:pPr>
          </w:p>
        </w:tc>
        <w:tc>
          <w:tcPr>
            <w:tcW w:w="840" w:type="dxa"/>
            <w:noWrap w:val="0"/>
            <w:vAlign w:val="center"/>
          </w:tcPr>
          <w:p>
            <w:pPr>
              <w:spacing w:line="320" w:lineRule="exact"/>
              <w:rPr>
                <w:rFonts w:ascii="宋体" w:hAnsi="宋体"/>
                <w:color w:val="auto"/>
                <w:szCs w:val="21"/>
                <w:highlight w:val="none"/>
              </w:rPr>
            </w:pPr>
          </w:p>
        </w:tc>
        <w:tc>
          <w:tcPr>
            <w:tcW w:w="945" w:type="dxa"/>
            <w:noWrap w:val="0"/>
            <w:vAlign w:val="center"/>
          </w:tcPr>
          <w:p>
            <w:pPr>
              <w:spacing w:line="320" w:lineRule="exact"/>
              <w:rPr>
                <w:rFonts w:ascii="宋体" w:hAnsi="宋体"/>
                <w:color w:val="auto"/>
                <w:szCs w:val="21"/>
                <w:highlight w:val="none"/>
              </w:rPr>
            </w:pPr>
          </w:p>
        </w:tc>
        <w:tc>
          <w:tcPr>
            <w:tcW w:w="735" w:type="dxa"/>
            <w:noWrap w:val="0"/>
            <w:vAlign w:val="center"/>
          </w:tcPr>
          <w:p>
            <w:pPr>
              <w:spacing w:line="32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trPr>
        <w:tc>
          <w:tcPr>
            <w:tcW w:w="945" w:type="dxa"/>
            <w:noWrap w:val="0"/>
            <w:vAlign w:val="center"/>
          </w:tcPr>
          <w:p>
            <w:pPr>
              <w:spacing w:line="320" w:lineRule="exact"/>
              <w:rPr>
                <w:rFonts w:ascii="宋体" w:hAnsi="宋体"/>
                <w:color w:val="auto"/>
                <w:szCs w:val="21"/>
                <w:highlight w:val="none"/>
              </w:rPr>
            </w:pPr>
          </w:p>
        </w:tc>
        <w:tc>
          <w:tcPr>
            <w:tcW w:w="630" w:type="dxa"/>
            <w:noWrap w:val="0"/>
            <w:vAlign w:val="center"/>
          </w:tcPr>
          <w:p>
            <w:pPr>
              <w:spacing w:line="320" w:lineRule="exact"/>
              <w:jc w:val="center"/>
              <w:rPr>
                <w:rFonts w:hint="eastAsia" w:ascii="宋体" w:hAnsi="宋体"/>
                <w:color w:val="auto"/>
                <w:szCs w:val="21"/>
                <w:highlight w:val="none"/>
              </w:rPr>
            </w:pPr>
          </w:p>
        </w:tc>
        <w:tc>
          <w:tcPr>
            <w:tcW w:w="1470" w:type="dxa"/>
            <w:noWrap w:val="0"/>
            <w:vAlign w:val="center"/>
          </w:tcPr>
          <w:p>
            <w:pPr>
              <w:spacing w:line="320" w:lineRule="exact"/>
              <w:rPr>
                <w:rFonts w:ascii="宋体" w:hAnsi="宋体"/>
                <w:color w:val="auto"/>
                <w:szCs w:val="21"/>
                <w:highlight w:val="none"/>
              </w:rPr>
            </w:pPr>
          </w:p>
        </w:tc>
        <w:tc>
          <w:tcPr>
            <w:tcW w:w="1680" w:type="dxa"/>
            <w:noWrap w:val="0"/>
            <w:vAlign w:val="center"/>
          </w:tcPr>
          <w:p>
            <w:pPr>
              <w:spacing w:line="320" w:lineRule="exact"/>
              <w:rPr>
                <w:rFonts w:ascii="宋体" w:hAnsi="宋体"/>
                <w:color w:val="auto"/>
                <w:szCs w:val="21"/>
                <w:highlight w:val="none"/>
              </w:rPr>
            </w:pPr>
          </w:p>
        </w:tc>
        <w:tc>
          <w:tcPr>
            <w:tcW w:w="1050" w:type="dxa"/>
            <w:noWrap w:val="0"/>
            <w:vAlign w:val="center"/>
          </w:tcPr>
          <w:p>
            <w:pPr>
              <w:spacing w:line="320" w:lineRule="exact"/>
              <w:rPr>
                <w:rFonts w:ascii="宋体" w:hAnsi="宋体"/>
                <w:color w:val="auto"/>
                <w:szCs w:val="21"/>
                <w:highlight w:val="none"/>
              </w:rPr>
            </w:pPr>
          </w:p>
        </w:tc>
        <w:tc>
          <w:tcPr>
            <w:tcW w:w="630" w:type="dxa"/>
            <w:noWrap w:val="0"/>
            <w:vAlign w:val="center"/>
          </w:tcPr>
          <w:p>
            <w:pPr>
              <w:spacing w:line="320" w:lineRule="exact"/>
              <w:rPr>
                <w:rFonts w:ascii="宋体" w:hAnsi="宋体"/>
                <w:color w:val="auto"/>
                <w:szCs w:val="21"/>
                <w:highlight w:val="none"/>
              </w:rPr>
            </w:pPr>
          </w:p>
        </w:tc>
        <w:tc>
          <w:tcPr>
            <w:tcW w:w="840" w:type="dxa"/>
            <w:noWrap w:val="0"/>
            <w:vAlign w:val="center"/>
          </w:tcPr>
          <w:p>
            <w:pPr>
              <w:spacing w:line="320" w:lineRule="exact"/>
              <w:rPr>
                <w:rFonts w:ascii="宋体" w:hAnsi="宋体"/>
                <w:color w:val="auto"/>
                <w:szCs w:val="21"/>
                <w:highlight w:val="none"/>
              </w:rPr>
            </w:pPr>
          </w:p>
        </w:tc>
        <w:tc>
          <w:tcPr>
            <w:tcW w:w="945" w:type="dxa"/>
            <w:noWrap w:val="0"/>
            <w:vAlign w:val="center"/>
          </w:tcPr>
          <w:p>
            <w:pPr>
              <w:spacing w:line="320" w:lineRule="exact"/>
              <w:rPr>
                <w:rFonts w:ascii="宋体" w:hAnsi="宋体"/>
                <w:color w:val="auto"/>
                <w:szCs w:val="21"/>
                <w:highlight w:val="none"/>
              </w:rPr>
            </w:pPr>
          </w:p>
        </w:tc>
        <w:tc>
          <w:tcPr>
            <w:tcW w:w="735" w:type="dxa"/>
            <w:noWrap w:val="0"/>
            <w:vAlign w:val="center"/>
          </w:tcPr>
          <w:p>
            <w:pPr>
              <w:spacing w:line="32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trPr>
        <w:tc>
          <w:tcPr>
            <w:tcW w:w="945" w:type="dxa"/>
            <w:noWrap w:val="0"/>
            <w:vAlign w:val="center"/>
          </w:tcPr>
          <w:p>
            <w:pPr>
              <w:spacing w:line="320" w:lineRule="exact"/>
              <w:rPr>
                <w:rFonts w:hint="eastAsia" w:ascii="宋体" w:hAnsi="宋体"/>
                <w:b/>
                <w:color w:val="auto"/>
                <w:highlight w:val="none"/>
              </w:rPr>
            </w:pPr>
          </w:p>
        </w:tc>
        <w:tc>
          <w:tcPr>
            <w:tcW w:w="630" w:type="dxa"/>
            <w:noWrap w:val="0"/>
            <w:vAlign w:val="center"/>
          </w:tcPr>
          <w:p>
            <w:pPr>
              <w:spacing w:line="320" w:lineRule="exact"/>
              <w:jc w:val="center"/>
              <w:rPr>
                <w:rFonts w:hint="eastAsia" w:ascii="宋体" w:hAnsi="宋体"/>
                <w:color w:val="auto"/>
                <w:szCs w:val="21"/>
                <w:highlight w:val="none"/>
              </w:rPr>
            </w:pPr>
          </w:p>
        </w:tc>
        <w:tc>
          <w:tcPr>
            <w:tcW w:w="1470" w:type="dxa"/>
            <w:noWrap w:val="0"/>
            <w:vAlign w:val="center"/>
          </w:tcPr>
          <w:p>
            <w:pPr>
              <w:spacing w:line="320" w:lineRule="exact"/>
              <w:rPr>
                <w:rFonts w:ascii="宋体" w:hAnsi="宋体"/>
                <w:color w:val="auto"/>
                <w:szCs w:val="21"/>
                <w:highlight w:val="none"/>
              </w:rPr>
            </w:pPr>
          </w:p>
        </w:tc>
        <w:tc>
          <w:tcPr>
            <w:tcW w:w="1680" w:type="dxa"/>
            <w:noWrap w:val="0"/>
            <w:vAlign w:val="center"/>
          </w:tcPr>
          <w:p>
            <w:pPr>
              <w:spacing w:line="320" w:lineRule="exact"/>
              <w:rPr>
                <w:rFonts w:ascii="宋体" w:hAnsi="宋体"/>
                <w:color w:val="auto"/>
                <w:szCs w:val="21"/>
                <w:highlight w:val="none"/>
              </w:rPr>
            </w:pPr>
          </w:p>
        </w:tc>
        <w:tc>
          <w:tcPr>
            <w:tcW w:w="1050" w:type="dxa"/>
            <w:noWrap w:val="0"/>
            <w:vAlign w:val="center"/>
          </w:tcPr>
          <w:p>
            <w:pPr>
              <w:spacing w:line="320" w:lineRule="exact"/>
              <w:rPr>
                <w:rFonts w:ascii="宋体" w:hAnsi="宋体"/>
                <w:color w:val="auto"/>
                <w:szCs w:val="21"/>
                <w:highlight w:val="none"/>
              </w:rPr>
            </w:pPr>
          </w:p>
        </w:tc>
        <w:tc>
          <w:tcPr>
            <w:tcW w:w="630" w:type="dxa"/>
            <w:noWrap w:val="0"/>
            <w:vAlign w:val="center"/>
          </w:tcPr>
          <w:p>
            <w:pPr>
              <w:spacing w:line="320" w:lineRule="exact"/>
              <w:rPr>
                <w:rFonts w:ascii="宋体" w:hAnsi="宋体"/>
                <w:color w:val="auto"/>
                <w:szCs w:val="21"/>
                <w:highlight w:val="none"/>
              </w:rPr>
            </w:pPr>
          </w:p>
        </w:tc>
        <w:tc>
          <w:tcPr>
            <w:tcW w:w="840" w:type="dxa"/>
            <w:noWrap w:val="0"/>
            <w:vAlign w:val="center"/>
          </w:tcPr>
          <w:p>
            <w:pPr>
              <w:spacing w:line="320" w:lineRule="exact"/>
              <w:rPr>
                <w:rFonts w:ascii="宋体" w:hAnsi="宋体"/>
                <w:color w:val="auto"/>
                <w:szCs w:val="21"/>
                <w:highlight w:val="none"/>
              </w:rPr>
            </w:pPr>
          </w:p>
        </w:tc>
        <w:tc>
          <w:tcPr>
            <w:tcW w:w="945" w:type="dxa"/>
            <w:noWrap w:val="0"/>
            <w:vAlign w:val="center"/>
          </w:tcPr>
          <w:p>
            <w:pPr>
              <w:spacing w:line="320" w:lineRule="exact"/>
              <w:rPr>
                <w:rFonts w:ascii="宋体" w:hAnsi="宋体"/>
                <w:color w:val="auto"/>
                <w:szCs w:val="21"/>
                <w:highlight w:val="none"/>
              </w:rPr>
            </w:pPr>
          </w:p>
        </w:tc>
        <w:tc>
          <w:tcPr>
            <w:tcW w:w="735" w:type="dxa"/>
            <w:noWrap w:val="0"/>
            <w:vAlign w:val="center"/>
          </w:tcPr>
          <w:p>
            <w:pPr>
              <w:spacing w:line="32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trPr>
        <w:tc>
          <w:tcPr>
            <w:tcW w:w="945" w:type="dxa"/>
            <w:noWrap w:val="0"/>
            <w:vAlign w:val="center"/>
          </w:tcPr>
          <w:p>
            <w:pPr>
              <w:spacing w:line="320" w:lineRule="exact"/>
              <w:rPr>
                <w:rFonts w:hint="eastAsia" w:ascii="宋体" w:hAnsi="宋体"/>
                <w:b/>
                <w:color w:val="auto"/>
                <w:highlight w:val="none"/>
              </w:rPr>
            </w:pPr>
          </w:p>
        </w:tc>
        <w:tc>
          <w:tcPr>
            <w:tcW w:w="630" w:type="dxa"/>
            <w:noWrap w:val="0"/>
            <w:vAlign w:val="center"/>
          </w:tcPr>
          <w:p>
            <w:pPr>
              <w:spacing w:line="320" w:lineRule="exact"/>
              <w:jc w:val="center"/>
              <w:rPr>
                <w:rFonts w:hint="eastAsia" w:ascii="宋体" w:hAnsi="宋体"/>
                <w:color w:val="auto"/>
                <w:szCs w:val="21"/>
                <w:highlight w:val="none"/>
              </w:rPr>
            </w:pPr>
          </w:p>
        </w:tc>
        <w:tc>
          <w:tcPr>
            <w:tcW w:w="1470" w:type="dxa"/>
            <w:noWrap w:val="0"/>
            <w:vAlign w:val="center"/>
          </w:tcPr>
          <w:p>
            <w:pPr>
              <w:spacing w:line="320" w:lineRule="exact"/>
              <w:rPr>
                <w:rFonts w:ascii="宋体" w:hAnsi="宋体"/>
                <w:color w:val="auto"/>
                <w:szCs w:val="21"/>
                <w:highlight w:val="none"/>
              </w:rPr>
            </w:pPr>
          </w:p>
        </w:tc>
        <w:tc>
          <w:tcPr>
            <w:tcW w:w="1680" w:type="dxa"/>
            <w:noWrap w:val="0"/>
            <w:vAlign w:val="center"/>
          </w:tcPr>
          <w:p>
            <w:pPr>
              <w:spacing w:line="320" w:lineRule="exact"/>
              <w:rPr>
                <w:rFonts w:ascii="宋体" w:hAnsi="宋体"/>
                <w:color w:val="auto"/>
                <w:szCs w:val="21"/>
                <w:highlight w:val="none"/>
              </w:rPr>
            </w:pPr>
          </w:p>
        </w:tc>
        <w:tc>
          <w:tcPr>
            <w:tcW w:w="1050" w:type="dxa"/>
            <w:noWrap w:val="0"/>
            <w:vAlign w:val="center"/>
          </w:tcPr>
          <w:p>
            <w:pPr>
              <w:spacing w:line="320" w:lineRule="exact"/>
              <w:rPr>
                <w:rFonts w:ascii="宋体" w:hAnsi="宋体"/>
                <w:color w:val="auto"/>
                <w:szCs w:val="21"/>
                <w:highlight w:val="none"/>
              </w:rPr>
            </w:pPr>
          </w:p>
        </w:tc>
        <w:tc>
          <w:tcPr>
            <w:tcW w:w="630" w:type="dxa"/>
            <w:noWrap w:val="0"/>
            <w:vAlign w:val="center"/>
          </w:tcPr>
          <w:p>
            <w:pPr>
              <w:spacing w:line="320" w:lineRule="exact"/>
              <w:rPr>
                <w:rFonts w:ascii="宋体" w:hAnsi="宋体"/>
                <w:color w:val="auto"/>
                <w:szCs w:val="21"/>
                <w:highlight w:val="none"/>
              </w:rPr>
            </w:pPr>
          </w:p>
        </w:tc>
        <w:tc>
          <w:tcPr>
            <w:tcW w:w="840" w:type="dxa"/>
            <w:noWrap w:val="0"/>
            <w:vAlign w:val="center"/>
          </w:tcPr>
          <w:p>
            <w:pPr>
              <w:spacing w:line="320" w:lineRule="exact"/>
              <w:rPr>
                <w:rFonts w:ascii="宋体" w:hAnsi="宋体"/>
                <w:color w:val="auto"/>
                <w:szCs w:val="21"/>
                <w:highlight w:val="none"/>
              </w:rPr>
            </w:pPr>
          </w:p>
        </w:tc>
        <w:tc>
          <w:tcPr>
            <w:tcW w:w="945" w:type="dxa"/>
            <w:noWrap w:val="0"/>
            <w:vAlign w:val="center"/>
          </w:tcPr>
          <w:p>
            <w:pPr>
              <w:spacing w:line="320" w:lineRule="exact"/>
              <w:rPr>
                <w:rFonts w:ascii="宋体" w:hAnsi="宋体"/>
                <w:color w:val="auto"/>
                <w:szCs w:val="21"/>
                <w:highlight w:val="none"/>
              </w:rPr>
            </w:pPr>
          </w:p>
        </w:tc>
        <w:tc>
          <w:tcPr>
            <w:tcW w:w="735" w:type="dxa"/>
            <w:noWrap w:val="0"/>
            <w:vAlign w:val="center"/>
          </w:tcPr>
          <w:p>
            <w:pPr>
              <w:spacing w:line="32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trPr>
        <w:tc>
          <w:tcPr>
            <w:tcW w:w="945" w:type="dxa"/>
            <w:noWrap w:val="0"/>
            <w:vAlign w:val="center"/>
          </w:tcPr>
          <w:p>
            <w:pPr>
              <w:spacing w:line="320" w:lineRule="exact"/>
              <w:rPr>
                <w:rFonts w:hint="eastAsia" w:ascii="宋体" w:hAnsi="宋体"/>
                <w:b/>
                <w:color w:val="auto"/>
                <w:highlight w:val="none"/>
              </w:rPr>
            </w:pPr>
          </w:p>
        </w:tc>
        <w:tc>
          <w:tcPr>
            <w:tcW w:w="630" w:type="dxa"/>
            <w:noWrap w:val="0"/>
            <w:vAlign w:val="center"/>
          </w:tcPr>
          <w:p>
            <w:pPr>
              <w:spacing w:line="320" w:lineRule="exact"/>
              <w:jc w:val="center"/>
              <w:rPr>
                <w:rFonts w:hint="eastAsia" w:ascii="宋体" w:hAnsi="宋体"/>
                <w:color w:val="auto"/>
                <w:szCs w:val="21"/>
                <w:highlight w:val="none"/>
              </w:rPr>
            </w:pPr>
          </w:p>
        </w:tc>
        <w:tc>
          <w:tcPr>
            <w:tcW w:w="1470" w:type="dxa"/>
            <w:noWrap w:val="0"/>
            <w:vAlign w:val="center"/>
          </w:tcPr>
          <w:p>
            <w:pPr>
              <w:spacing w:line="320" w:lineRule="exact"/>
              <w:rPr>
                <w:rFonts w:ascii="宋体" w:hAnsi="宋体"/>
                <w:color w:val="auto"/>
                <w:szCs w:val="21"/>
                <w:highlight w:val="none"/>
              </w:rPr>
            </w:pPr>
          </w:p>
        </w:tc>
        <w:tc>
          <w:tcPr>
            <w:tcW w:w="1680" w:type="dxa"/>
            <w:noWrap w:val="0"/>
            <w:vAlign w:val="center"/>
          </w:tcPr>
          <w:p>
            <w:pPr>
              <w:spacing w:line="320" w:lineRule="exact"/>
              <w:rPr>
                <w:rFonts w:ascii="宋体" w:hAnsi="宋体"/>
                <w:color w:val="auto"/>
                <w:szCs w:val="21"/>
                <w:highlight w:val="none"/>
              </w:rPr>
            </w:pPr>
          </w:p>
        </w:tc>
        <w:tc>
          <w:tcPr>
            <w:tcW w:w="1050" w:type="dxa"/>
            <w:noWrap w:val="0"/>
            <w:vAlign w:val="center"/>
          </w:tcPr>
          <w:p>
            <w:pPr>
              <w:spacing w:line="320" w:lineRule="exact"/>
              <w:rPr>
                <w:rFonts w:ascii="宋体" w:hAnsi="宋体"/>
                <w:color w:val="auto"/>
                <w:szCs w:val="21"/>
                <w:highlight w:val="none"/>
              </w:rPr>
            </w:pPr>
          </w:p>
        </w:tc>
        <w:tc>
          <w:tcPr>
            <w:tcW w:w="630" w:type="dxa"/>
            <w:noWrap w:val="0"/>
            <w:vAlign w:val="center"/>
          </w:tcPr>
          <w:p>
            <w:pPr>
              <w:spacing w:line="320" w:lineRule="exact"/>
              <w:rPr>
                <w:rFonts w:ascii="宋体" w:hAnsi="宋体"/>
                <w:color w:val="auto"/>
                <w:szCs w:val="21"/>
                <w:highlight w:val="none"/>
              </w:rPr>
            </w:pPr>
          </w:p>
        </w:tc>
        <w:tc>
          <w:tcPr>
            <w:tcW w:w="840" w:type="dxa"/>
            <w:noWrap w:val="0"/>
            <w:vAlign w:val="center"/>
          </w:tcPr>
          <w:p>
            <w:pPr>
              <w:spacing w:line="320" w:lineRule="exact"/>
              <w:rPr>
                <w:rFonts w:ascii="宋体" w:hAnsi="宋体"/>
                <w:color w:val="auto"/>
                <w:szCs w:val="21"/>
                <w:highlight w:val="none"/>
              </w:rPr>
            </w:pPr>
          </w:p>
        </w:tc>
        <w:tc>
          <w:tcPr>
            <w:tcW w:w="945" w:type="dxa"/>
            <w:noWrap w:val="0"/>
            <w:vAlign w:val="center"/>
          </w:tcPr>
          <w:p>
            <w:pPr>
              <w:spacing w:line="320" w:lineRule="exact"/>
              <w:rPr>
                <w:rFonts w:ascii="宋体" w:hAnsi="宋体"/>
                <w:color w:val="auto"/>
                <w:szCs w:val="21"/>
                <w:highlight w:val="none"/>
              </w:rPr>
            </w:pPr>
          </w:p>
        </w:tc>
        <w:tc>
          <w:tcPr>
            <w:tcW w:w="735" w:type="dxa"/>
            <w:noWrap w:val="0"/>
            <w:vAlign w:val="center"/>
          </w:tcPr>
          <w:p>
            <w:pPr>
              <w:spacing w:line="32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trPr>
        <w:tc>
          <w:tcPr>
            <w:tcW w:w="945" w:type="dxa"/>
            <w:noWrap w:val="0"/>
            <w:vAlign w:val="center"/>
          </w:tcPr>
          <w:p>
            <w:pPr>
              <w:spacing w:line="320" w:lineRule="exact"/>
              <w:rPr>
                <w:rFonts w:hint="eastAsia" w:ascii="宋体" w:hAnsi="宋体"/>
                <w:b/>
                <w:color w:val="auto"/>
                <w:highlight w:val="none"/>
              </w:rPr>
            </w:pPr>
          </w:p>
        </w:tc>
        <w:tc>
          <w:tcPr>
            <w:tcW w:w="630" w:type="dxa"/>
            <w:noWrap w:val="0"/>
            <w:vAlign w:val="center"/>
          </w:tcPr>
          <w:p>
            <w:pPr>
              <w:spacing w:line="320" w:lineRule="exact"/>
              <w:jc w:val="center"/>
              <w:rPr>
                <w:rFonts w:hint="eastAsia" w:ascii="宋体" w:hAnsi="宋体"/>
                <w:color w:val="auto"/>
                <w:szCs w:val="21"/>
                <w:highlight w:val="none"/>
              </w:rPr>
            </w:pPr>
          </w:p>
        </w:tc>
        <w:tc>
          <w:tcPr>
            <w:tcW w:w="1470" w:type="dxa"/>
            <w:noWrap w:val="0"/>
            <w:vAlign w:val="center"/>
          </w:tcPr>
          <w:p>
            <w:pPr>
              <w:spacing w:line="320" w:lineRule="exact"/>
              <w:rPr>
                <w:rFonts w:ascii="宋体" w:hAnsi="宋体"/>
                <w:color w:val="auto"/>
                <w:szCs w:val="21"/>
                <w:highlight w:val="none"/>
              </w:rPr>
            </w:pPr>
          </w:p>
        </w:tc>
        <w:tc>
          <w:tcPr>
            <w:tcW w:w="1680" w:type="dxa"/>
            <w:noWrap w:val="0"/>
            <w:vAlign w:val="center"/>
          </w:tcPr>
          <w:p>
            <w:pPr>
              <w:spacing w:line="320" w:lineRule="exact"/>
              <w:rPr>
                <w:rFonts w:ascii="宋体" w:hAnsi="宋体"/>
                <w:color w:val="auto"/>
                <w:szCs w:val="21"/>
                <w:highlight w:val="none"/>
              </w:rPr>
            </w:pPr>
          </w:p>
        </w:tc>
        <w:tc>
          <w:tcPr>
            <w:tcW w:w="1050" w:type="dxa"/>
            <w:noWrap w:val="0"/>
            <w:vAlign w:val="center"/>
          </w:tcPr>
          <w:p>
            <w:pPr>
              <w:spacing w:line="320" w:lineRule="exact"/>
              <w:rPr>
                <w:rFonts w:ascii="宋体" w:hAnsi="宋体"/>
                <w:color w:val="auto"/>
                <w:szCs w:val="21"/>
                <w:highlight w:val="none"/>
              </w:rPr>
            </w:pPr>
          </w:p>
        </w:tc>
        <w:tc>
          <w:tcPr>
            <w:tcW w:w="630" w:type="dxa"/>
            <w:noWrap w:val="0"/>
            <w:vAlign w:val="center"/>
          </w:tcPr>
          <w:p>
            <w:pPr>
              <w:spacing w:line="320" w:lineRule="exact"/>
              <w:rPr>
                <w:rFonts w:ascii="宋体" w:hAnsi="宋体"/>
                <w:color w:val="auto"/>
                <w:szCs w:val="21"/>
                <w:highlight w:val="none"/>
              </w:rPr>
            </w:pPr>
          </w:p>
        </w:tc>
        <w:tc>
          <w:tcPr>
            <w:tcW w:w="840" w:type="dxa"/>
            <w:noWrap w:val="0"/>
            <w:vAlign w:val="center"/>
          </w:tcPr>
          <w:p>
            <w:pPr>
              <w:spacing w:line="320" w:lineRule="exact"/>
              <w:rPr>
                <w:rFonts w:ascii="宋体" w:hAnsi="宋体"/>
                <w:color w:val="auto"/>
                <w:szCs w:val="21"/>
                <w:highlight w:val="none"/>
              </w:rPr>
            </w:pPr>
          </w:p>
        </w:tc>
        <w:tc>
          <w:tcPr>
            <w:tcW w:w="945" w:type="dxa"/>
            <w:noWrap w:val="0"/>
            <w:vAlign w:val="center"/>
          </w:tcPr>
          <w:p>
            <w:pPr>
              <w:spacing w:line="320" w:lineRule="exact"/>
              <w:rPr>
                <w:rFonts w:ascii="宋体" w:hAnsi="宋体"/>
                <w:color w:val="auto"/>
                <w:szCs w:val="21"/>
                <w:highlight w:val="none"/>
              </w:rPr>
            </w:pPr>
          </w:p>
        </w:tc>
        <w:tc>
          <w:tcPr>
            <w:tcW w:w="735" w:type="dxa"/>
            <w:noWrap w:val="0"/>
            <w:vAlign w:val="center"/>
          </w:tcPr>
          <w:p>
            <w:pPr>
              <w:spacing w:line="320" w:lineRule="exact"/>
              <w:rPr>
                <w:rFonts w:ascii="宋体" w:hAnsi="宋体"/>
                <w:color w:val="auto"/>
                <w:szCs w:val="21"/>
                <w:highlight w:val="none"/>
              </w:rPr>
            </w:pPr>
          </w:p>
        </w:tc>
      </w:tr>
    </w:tbl>
    <w:p>
      <w:pPr>
        <w:rPr>
          <w:rFonts w:hint="eastAsia" w:ascii="宋体" w:hAnsi="宋体"/>
          <w:color w:val="auto"/>
          <w:szCs w:val="21"/>
          <w:highlight w:val="none"/>
        </w:rPr>
      </w:pPr>
    </w:p>
    <w:p>
      <w:pPr>
        <w:rPr>
          <w:rFonts w:hint="eastAsia" w:ascii="宋体" w:hAnsi="宋体"/>
          <w:color w:val="auto"/>
          <w:szCs w:val="21"/>
          <w:highlight w:val="none"/>
          <w:u w:val="single"/>
        </w:rPr>
      </w:pPr>
      <w:r>
        <w:rPr>
          <w:rFonts w:hint="eastAsia" w:ascii="宋体" w:hAnsi="宋体"/>
          <w:color w:val="auto"/>
          <w:szCs w:val="21"/>
          <w:highlight w:val="none"/>
        </w:rPr>
        <w:t>投标人（全称并加盖公章）：</w:t>
      </w:r>
      <w:r>
        <w:rPr>
          <w:rFonts w:hint="eastAsia" w:ascii="宋体" w:hAnsi="宋体"/>
          <w:color w:val="auto"/>
          <w:szCs w:val="21"/>
          <w:highlight w:val="none"/>
          <w:u w:val="single"/>
        </w:rPr>
        <w:t xml:space="preserve">                     </w:t>
      </w:r>
      <w:r>
        <w:rPr>
          <w:rFonts w:hint="eastAsia" w:ascii="宋体" w:hAnsi="宋体"/>
          <w:color w:val="auto"/>
          <w:highlight w:val="none"/>
        </w:rPr>
        <w:t xml:space="preserve">  </w:t>
      </w:r>
    </w:p>
    <w:p>
      <w:pPr>
        <w:spacing w:line="380" w:lineRule="exact"/>
        <w:rPr>
          <w:rFonts w:hint="eastAsia" w:ascii="宋体" w:hAnsi="宋体"/>
          <w:b/>
          <w:color w:val="auto"/>
          <w:sz w:val="32"/>
          <w:szCs w:val="32"/>
          <w:highlight w:val="none"/>
        </w:rPr>
      </w:pPr>
      <w:r>
        <w:rPr>
          <w:rFonts w:hint="eastAsia" w:ascii="宋体" w:hAnsi="宋体"/>
          <w:color w:val="auto"/>
          <w:szCs w:val="21"/>
          <w:highlight w:val="none"/>
        </w:rPr>
        <w:t xml:space="preserve">投标人代表签字： </w:t>
      </w:r>
      <w:r>
        <w:rPr>
          <w:rFonts w:hint="eastAsia" w:ascii="宋体" w:hAnsi="宋体"/>
          <w:color w:val="auto"/>
          <w:szCs w:val="21"/>
          <w:highlight w:val="none"/>
          <w:u w:val="single"/>
        </w:rPr>
        <w:t xml:space="preserve">                            </w:t>
      </w:r>
    </w:p>
    <w:p>
      <w:pPr>
        <w:spacing w:line="380" w:lineRule="exact"/>
        <w:ind w:firstLine="420" w:firstLineChars="200"/>
        <w:rPr>
          <w:rFonts w:hint="eastAsia" w:ascii="宋体" w:hAnsi="宋体"/>
          <w:color w:val="auto"/>
          <w:szCs w:val="21"/>
          <w:highlight w:val="none"/>
        </w:rPr>
      </w:pPr>
    </w:p>
    <w:p>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说明：</w:t>
      </w:r>
    </w:p>
    <w:p>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1、投标人应对上述表格内容进行详细填写，如果所投产品没有相应内容的请在表中注明“无”。</w:t>
      </w:r>
    </w:p>
    <w:p>
      <w:pPr>
        <w:rPr>
          <w:rFonts w:hint="eastAsia" w:ascii="宋体" w:hAnsi="宋体"/>
          <w:color w:val="auto"/>
          <w:szCs w:val="21"/>
          <w:highlight w:val="none"/>
        </w:rPr>
        <w:sectPr>
          <w:pgSz w:w="11907" w:h="16840"/>
          <w:pgMar w:top="1440" w:right="1752" w:bottom="1440" w:left="1752" w:header="851" w:footer="992" w:gutter="0"/>
          <w:pgNumType w:fmt="decimal"/>
          <w:cols w:space="720" w:num="1"/>
          <w:docGrid w:linePitch="323" w:charSpace="-2"/>
        </w:sectPr>
      </w:pPr>
    </w:p>
    <w:p>
      <w:pPr>
        <w:pStyle w:val="22"/>
        <w:rPr>
          <w:rFonts w:hAnsi="宋体"/>
          <w:b/>
          <w:color w:val="auto"/>
          <w:sz w:val="21"/>
          <w:szCs w:val="21"/>
          <w:highlight w:val="none"/>
        </w:rPr>
      </w:pPr>
      <w:bookmarkStart w:id="9" w:name="_Toc12367"/>
      <w:bookmarkStart w:id="10" w:name="_Toc2436"/>
      <w:bookmarkStart w:id="11" w:name="_Toc21933"/>
      <w:r>
        <w:rPr>
          <w:rFonts w:hAnsi="宋体"/>
          <w:color w:val="auto"/>
          <w:sz w:val="21"/>
          <w:szCs w:val="21"/>
          <w:highlight w:val="none"/>
        </w:rPr>
        <w:t>附件4、</w:t>
      </w:r>
      <w:bookmarkEnd w:id="9"/>
      <w:bookmarkEnd w:id="10"/>
      <w:bookmarkEnd w:id="11"/>
    </w:p>
    <w:p>
      <w:pPr>
        <w:pStyle w:val="22"/>
        <w:jc w:val="center"/>
        <w:rPr>
          <w:rFonts w:hint="eastAsia" w:hAnsi="宋体" w:eastAsia="宋体"/>
          <w:b/>
          <w:color w:val="auto"/>
          <w:sz w:val="32"/>
          <w:szCs w:val="32"/>
          <w:highlight w:val="none"/>
          <w:lang w:eastAsia="zh-CN"/>
        </w:rPr>
      </w:pPr>
      <w:bookmarkStart w:id="12" w:name="_Toc18876"/>
      <w:bookmarkStart w:id="13" w:name="_Toc12025"/>
      <w:bookmarkStart w:id="14" w:name="_Toc21889"/>
      <w:r>
        <w:rPr>
          <w:rFonts w:hint="eastAsia" w:hAnsi="宋体"/>
          <w:b/>
          <w:color w:val="auto"/>
          <w:sz w:val="32"/>
          <w:szCs w:val="32"/>
          <w:highlight w:val="none"/>
          <w:lang w:eastAsia="zh-CN"/>
        </w:rPr>
        <w:t>技术服务和商务偏离表</w:t>
      </w:r>
      <w:bookmarkEnd w:id="12"/>
      <w:bookmarkEnd w:id="13"/>
      <w:bookmarkEnd w:id="14"/>
    </w:p>
    <w:p>
      <w:pPr>
        <w:pStyle w:val="22"/>
        <w:jc w:val="center"/>
        <w:rPr>
          <w:rFonts w:hint="eastAsia" w:hAnsi="宋体" w:eastAsia="宋体"/>
          <w:b/>
          <w:color w:val="auto"/>
          <w:sz w:val="32"/>
          <w:szCs w:val="32"/>
          <w:highlight w:val="none"/>
          <w:lang w:eastAsia="zh-CN"/>
        </w:rPr>
      </w:pPr>
    </w:p>
    <w:p>
      <w:pPr>
        <w:rPr>
          <w:rFonts w:hint="eastAsia" w:ascii="宋体" w:hAnsi="宋体"/>
          <w:color w:val="auto"/>
          <w:szCs w:val="21"/>
          <w:highlight w:val="none"/>
        </w:rPr>
      </w:pPr>
      <w:r>
        <w:rPr>
          <w:rFonts w:hint="eastAsia" w:ascii="宋体" w:hAnsi="宋体"/>
          <w:color w:val="auto"/>
          <w:szCs w:val="21"/>
          <w:highlight w:val="none"/>
        </w:rPr>
        <w:t>投标人（全称并加盖公章）：</w:t>
      </w:r>
      <w:r>
        <w:rPr>
          <w:rFonts w:hint="eastAsia" w:ascii="宋体" w:hAnsi="宋体"/>
          <w:color w:val="auto"/>
          <w:szCs w:val="21"/>
          <w:highlight w:val="none"/>
          <w:u w:val="single"/>
        </w:rPr>
        <w:t xml:space="preserve">                     </w:t>
      </w:r>
      <w:r>
        <w:rPr>
          <w:rFonts w:hint="eastAsia" w:ascii="宋体" w:hAnsi="宋体"/>
          <w:color w:val="auto"/>
          <w:highlight w:val="none"/>
        </w:rPr>
        <w:t xml:space="preserve">                                                  项目编号：</w:t>
      </w:r>
      <w:r>
        <w:rPr>
          <w:rFonts w:hint="eastAsia" w:ascii="宋体" w:hAnsi="宋体"/>
          <w:color w:val="auto"/>
          <w:szCs w:val="21"/>
          <w:highlight w:val="none"/>
          <w:u w:val="single"/>
        </w:rPr>
        <w:t xml:space="preserve">                     </w:t>
      </w:r>
      <w:r>
        <w:rPr>
          <w:rFonts w:ascii="宋体" w:hAnsi="宋体"/>
          <w:color w:val="auto"/>
          <w:szCs w:val="21"/>
          <w:highlight w:val="none"/>
        </w:rPr>
        <w:tab/>
      </w:r>
    </w:p>
    <w:p>
      <w:pPr>
        <w:rPr>
          <w:rFonts w:hint="eastAsia" w:ascii="宋体" w:hAnsi="宋体"/>
          <w:color w:val="auto"/>
          <w:szCs w:val="21"/>
          <w:highlight w:val="none"/>
          <w:u w:val="single"/>
        </w:rPr>
      </w:pPr>
    </w:p>
    <w:tbl>
      <w:tblPr>
        <w:tblStyle w:val="14"/>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1995"/>
        <w:gridCol w:w="3885"/>
        <w:gridCol w:w="3780"/>
        <w:gridCol w:w="178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7" w:hRule="atLeast"/>
        </w:trPr>
        <w:tc>
          <w:tcPr>
            <w:tcW w:w="7035" w:type="dxa"/>
            <w:gridSpan w:val="3"/>
            <w:noWrap w:val="0"/>
            <w:vAlign w:val="center"/>
          </w:tcPr>
          <w:p>
            <w:pPr>
              <w:spacing w:line="260" w:lineRule="exact"/>
              <w:jc w:val="center"/>
              <w:rPr>
                <w:rFonts w:hint="eastAsia" w:ascii="宋体" w:hAnsi="宋体"/>
                <w:b/>
                <w:color w:val="auto"/>
                <w:szCs w:val="21"/>
                <w:highlight w:val="none"/>
              </w:rPr>
            </w:pPr>
            <w:r>
              <w:rPr>
                <w:rFonts w:hint="eastAsia" w:ascii="宋体" w:hAnsi="宋体"/>
                <w:b/>
                <w:color w:val="auto"/>
                <w:szCs w:val="21"/>
                <w:highlight w:val="none"/>
              </w:rPr>
              <w:t>按招标文件规定内容填写</w:t>
            </w:r>
          </w:p>
        </w:tc>
        <w:tc>
          <w:tcPr>
            <w:tcW w:w="6720" w:type="dxa"/>
            <w:gridSpan w:val="3"/>
            <w:noWrap w:val="0"/>
            <w:vAlign w:val="center"/>
          </w:tcPr>
          <w:p>
            <w:pPr>
              <w:spacing w:line="260" w:lineRule="exact"/>
              <w:jc w:val="center"/>
              <w:rPr>
                <w:rFonts w:hint="eastAsia" w:ascii="宋体" w:hAnsi="宋体"/>
                <w:b/>
                <w:color w:val="auto"/>
                <w:szCs w:val="21"/>
                <w:highlight w:val="none"/>
              </w:rPr>
            </w:pPr>
            <w:r>
              <w:rPr>
                <w:rFonts w:hint="eastAsia" w:ascii="宋体" w:hAnsi="宋体"/>
                <w:b/>
                <w:color w:val="auto"/>
                <w:szCs w:val="21"/>
                <w:highlight w:val="none"/>
              </w:rPr>
              <w:t>按投标人所投内容填写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8" w:hRule="atLeast"/>
        </w:trPr>
        <w:tc>
          <w:tcPr>
            <w:tcW w:w="1155" w:type="dxa"/>
            <w:noWrap w:val="0"/>
            <w:vAlign w:val="center"/>
          </w:tcPr>
          <w:p>
            <w:pPr>
              <w:spacing w:line="260" w:lineRule="exact"/>
              <w:jc w:val="center"/>
              <w:rPr>
                <w:rFonts w:hint="eastAsia" w:ascii="宋体" w:hAnsi="宋体"/>
                <w:b/>
                <w:color w:val="auto"/>
                <w:szCs w:val="21"/>
                <w:highlight w:val="none"/>
              </w:rPr>
            </w:pPr>
            <w:r>
              <w:rPr>
                <w:rFonts w:hint="eastAsia" w:ascii="宋体" w:hAnsi="宋体"/>
                <w:b/>
                <w:color w:val="auto"/>
                <w:szCs w:val="21"/>
                <w:highlight w:val="none"/>
              </w:rPr>
              <w:t>合同包/品目号</w:t>
            </w:r>
          </w:p>
        </w:tc>
        <w:tc>
          <w:tcPr>
            <w:tcW w:w="1995" w:type="dxa"/>
            <w:noWrap w:val="0"/>
            <w:vAlign w:val="center"/>
          </w:tcPr>
          <w:p>
            <w:pPr>
              <w:spacing w:line="260" w:lineRule="exact"/>
              <w:jc w:val="center"/>
              <w:rPr>
                <w:rFonts w:hint="eastAsia" w:ascii="宋体" w:hAnsi="宋体"/>
                <w:b/>
                <w:color w:val="auto"/>
                <w:szCs w:val="21"/>
                <w:highlight w:val="none"/>
              </w:rPr>
            </w:pPr>
            <w:r>
              <w:rPr>
                <w:rFonts w:hint="eastAsia" w:ascii="宋体" w:hAnsi="宋体"/>
                <w:b/>
                <w:color w:val="auto"/>
                <w:szCs w:val="21"/>
                <w:highlight w:val="none"/>
              </w:rPr>
              <w:t>货物名称</w:t>
            </w:r>
          </w:p>
        </w:tc>
        <w:tc>
          <w:tcPr>
            <w:tcW w:w="3885" w:type="dxa"/>
            <w:noWrap w:val="0"/>
            <w:vAlign w:val="center"/>
          </w:tcPr>
          <w:p>
            <w:pPr>
              <w:spacing w:line="260" w:lineRule="exact"/>
              <w:jc w:val="center"/>
              <w:rPr>
                <w:rFonts w:hint="eastAsia" w:ascii="宋体" w:hAnsi="宋体"/>
                <w:b/>
                <w:color w:val="auto"/>
                <w:szCs w:val="21"/>
                <w:highlight w:val="none"/>
              </w:rPr>
            </w:pPr>
            <w:r>
              <w:rPr>
                <w:rFonts w:hint="eastAsia" w:ascii="宋体" w:hAnsi="宋体"/>
                <w:b/>
                <w:color w:val="auto"/>
                <w:szCs w:val="21"/>
                <w:highlight w:val="none"/>
              </w:rPr>
              <w:t>规格条目号/招标文件要求</w:t>
            </w:r>
          </w:p>
        </w:tc>
        <w:tc>
          <w:tcPr>
            <w:tcW w:w="3780" w:type="dxa"/>
            <w:noWrap w:val="0"/>
            <w:vAlign w:val="center"/>
          </w:tcPr>
          <w:p>
            <w:pPr>
              <w:spacing w:line="260" w:lineRule="exact"/>
              <w:jc w:val="center"/>
              <w:rPr>
                <w:rFonts w:hint="eastAsia" w:ascii="宋体" w:hAnsi="宋体"/>
                <w:b/>
                <w:color w:val="auto"/>
                <w:szCs w:val="21"/>
                <w:highlight w:val="none"/>
              </w:rPr>
            </w:pPr>
            <w:r>
              <w:rPr>
                <w:rFonts w:hint="eastAsia" w:ascii="宋体" w:hAnsi="宋体"/>
                <w:b/>
                <w:color w:val="auto"/>
                <w:szCs w:val="21"/>
                <w:highlight w:val="none"/>
              </w:rPr>
              <w:t>投标产品响应</w:t>
            </w:r>
          </w:p>
        </w:tc>
        <w:tc>
          <w:tcPr>
            <w:tcW w:w="1785" w:type="dxa"/>
            <w:noWrap w:val="0"/>
            <w:vAlign w:val="center"/>
          </w:tcPr>
          <w:p>
            <w:pPr>
              <w:spacing w:line="260" w:lineRule="exact"/>
              <w:jc w:val="center"/>
              <w:rPr>
                <w:rFonts w:hint="eastAsia" w:ascii="宋体" w:hAnsi="宋体"/>
                <w:b/>
                <w:color w:val="auto"/>
                <w:szCs w:val="21"/>
                <w:highlight w:val="none"/>
              </w:rPr>
            </w:pPr>
            <w:r>
              <w:rPr>
                <w:rFonts w:hint="eastAsia" w:ascii="宋体" w:hAnsi="宋体"/>
                <w:b/>
                <w:color w:val="auto"/>
                <w:szCs w:val="21"/>
                <w:highlight w:val="none"/>
              </w:rPr>
              <w:t>偏离情况</w:t>
            </w:r>
          </w:p>
        </w:tc>
        <w:tc>
          <w:tcPr>
            <w:tcW w:w="1155" w:type="dxa"/>
            <w:noWrap w:val="0"/>
            <w:vAlign w:val="center"/>
          </w:tcPr>
          <w:p>
            <w:pPr>
              <w:spacing w:line="260" w:lineRule="exact"/>
              <w:jc w:val="center"/>
              <w:rPr>
                <w:rFonts w:hint="eastAsia" w:ascii="宋体" w:hAnsi="宋体"/>
                <w:b/>
                <w:color w:val="auto"/>
                <w:szCs w:val="21"/>
                <w:highlight w:val="none"/>
              </w:rPr>
            </w:pPr>
            <w:r>
              <w:rPr>
                <w:rFonts w:hint="eastAsia" w:ascii="宋体" w:hAnsi="宋体"/>
                <w:b/>
                <w:color w:val="auto"/>
                <w:szCs w:val="21"/>
                <w:highlight w:val="none"/>
              </w:rPr>
              <w:t xml:space="preserve">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6" w:hRule="atLeast"/>
        </w:trPr>
        <w:tc>
          <w:tcPr>
            <w:tcW w:w="1155" w:type="dxa"/>
            <w:noWrap w:val="0"/>
            <w:vAlign w:val="center"/>
          </w:tcPr>
          <w:p>
            <w:pPr>
              <w:spacing w:line="260" w:lineRule="exact"/>
              <w:jc w:val="center"/>
              <w:rPr>
                <w:rFonts w:hint="eastAsia" w:ascii="宋体" w:hAnsi="宋体"/>
                <w:b/>
                <w:color w:val="auto"/>
                <w:szCs w:val="21"/>
                <w:highlight w:val="none"/>
              </w:rPr>
            </w:pPr>
          </w:p>
        </w:tc>
        <w:tc>
          <w:tcPr>
            <w:tcW w:w="1995" w:type="dxa"/>
            <w:noWrap w:val="0"/>
            <w:vAlign w:val="center"/>
          </w:tcPr>
          <w:p>
            <w:pPr>
              <w:spacing w:line="260" w:lineRule="exact"/>
              <w:jc w:val="center"/>
              <w:rPr>
                <w:rFonts w:hint="eastAsia" w:ascii="宋体" w:hAnsi="宋体"/>
                <w:b/>
                <w:color w:val="auto"/>
                <w:szCs w:val="21"/>
                <w:highlight w:val="none"/>
              </w:rPr>
            </w:pPr>
          </w:p>
        </w:tc>
        <w:tc>
          <w:tcPr>
            <w:tcW w:w="3885" w:type="dxa"/>
            <w:noWrap w:val="0"/>
            <w:vAlign w:val="center"/>
          </w:tcPr>
          <w:p>
            <w:pPr>
              <w:spacing w:line="260" w:lineRule="exact"/>
              <w:jc w:val="center"/>
              <w:rPr>
                <w:rFonts w:hint="eastAsia" w:ascii="宋体" w:hAnsi="宋体"/>
                <w:b/>
                <w:color w:val="auto"/>
                <w:szCs w:val="21"/>
                <w:highlight w:val="none"/>
              </w:rPr>
            </w:pPr>
          </w:p>
        </w:tc>
        <w:tc>
          <w:tcPr>
            <w:tcW w:w="3780" w:type="dxa"/>
            <w:noWrap w:val="0"/>
            <w:vAlign w:val="center"/>
          </w:tcPr>
          <w:p>
            <w:pPr>
              <w:spacing w:line="260" w:lineRule="exact"/>
              <w:jc w:val="center"/>
              <w:rPr>
                <w:rFonts w:hint="eastAsia" w:ascii="宋体" w:hAnsi="宋体"/>
                <w:b/>
                <w:color w:val="auto"/>
                <w:szCs w:val="21"/>
                <w:highlight w:val="none"/>
              </w:rPr>
            </w:pPr>
          </w:p>
        </w:tc>
        <w:tc>
          <w:tcPr>
            <w:tcW w:w="1785" w:type="dxa"/>
            <w:noWrap w:val="0"/>
            <w:vAlign w:val="center"/>
          </w:tcPr>
          <w:p>
            <w:pPr>
              <w:spacing w:line="260" w:lineRule="exact"/>
              <w:jc w:val="center"/>
              <w:rPr>
                <w:rFonts w:hint="eastAsia" w:ascii="宋体" w:hAnsi="宋体"/>
                <w:b/>
                <w:color w:val="auto"/>
                <w:szCs w:val="21"/>
                <w:highlight w:val="none"/>
              </w:rPr>
            </w:pPr>
          </w:p>
        </w:tc>
        <w:tc>
          <w:tcPr>
            <w:tcW w:w="1155" w:type="dxa"/>
            <w:noWrap w:val="0"/>
            <w:vAlign w:val="center"/>
          </w:tcPr>
          <w:p>
            <w:pPr>
              <w:spacing w:line="260" w:lineRule="exact"/>
              <w:jc w:val="center"/>
              <w:rPr>
                <w:rFonts w:hint="eastAsia"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8" w:hRule="atLeast"/>
        </w:trPr>
        <w:tc>
          <w:tcPr>
            <w:tcW w:w="1155" w:type="dxa"/>
            <w:noWrap w:val="0"/>
            <w:vAlign w:val="top"/>
          </w:tcPr>
          <w:p>
            <w:pPr>
              <w:spacing w:line="380" w:lineRule="exact"/>
              <w:rPr>
                <w:rFonts w:hint="eastAsia" w:ascii="宋体" w:hAnsi="宋体"/>
                <w:color w:val="auto"/>
                <w:szCs w:val="21"/>
                <w:highlight w:val="none"/>
              </w:rPr>
            </w:pPr>
          </w:p>
        </w:tc>
        <w:tc>
          <w:tcPr>
            <w:tcW w:w="1995" w:type="dxa"/>
            <w:noWrap w:val="0"/>
            <w:vAlign w:val="top"/>
          </w:tcPr>
          <w:p>
            <w:pPr>
              <w:spacing w:line="380" w:lineRule="exact"/>
              <w:rPr>
                <w:rFonts w:hint="eastAsia" w:ascii="宋体" w:hAnsi="宋体"/>
                <w:color w:val="auto"/>
                <w:szCs w:val="21"/>
                <w:highlight w:val="none"/>
              </w:rPr>
            </w:pPr>
          </w:p>
        </w:tc>
        <w:tc>
          <w:tcPr>
            <w:tcW w:w="3885" w:type="dxa"/>
            <w:noWrap w:val="0"/>
            <w:vAlign w:val="top"/>
          </w:tcPr>
          <w:p>
            <w:pPr>
              <w:spacing w:line="380" w:lineRule="exact"/>
              <w:rPr>
                <w:rFonts w:hint="eastAsia" w:ascii="宋体" w:hAnsi="宋体"/>
                <w:color w:val="auto"/>
                <w:szCs w:val="21"/>
                <w:highlight w:val="none"/>
              </w:rPr>
            </w:pPr>
          </w:p>
        </w:tc>
        <w:tc>
          <w:tcPr>
            <w:tcW w:w="3780" w:type="dxa"/>
            <w:noWrap w:val="0"/>
            <w:vAlign w:val="top"/>
          </w:tcPr>
          <w:p>
            <w:pPr>
              <w:spacing w:line="380" w:lineRule="exact"/>
              <w:rPr>
                <w:rFonts w:hint="eastAsia" w:ascii="宋体" w:hAnsi="宋体"/>
                <w:color w:val="auto"/>
                <w:szCs w:val="21"/>
                <w:highlight w:val="none"/>
              </w:rPr>
            </w:pPr>
          </w:p>
        </w:tc>
        <w:tc>
          <w:tcPr>
            <w:tcW w:w="1785" w:type="dxa"/>
            <w:noWrap w:val="0"/>
            <w:vAlign w:val="top"/>
          </w:tcPr>
          <w:p>
            <w:pPr>
              <w:spacing w:line="380" w:lineRule="exact"/>
              <w:rPr>
                <w:rFonts w:hint="eastAsia" w:ascii="宋体" w:hAnsi="宋体"/>
                <w:color w:val="auto"/>
                <w:szCs w:val="21"/>
                <w:highlight w:val="none"/>
              </w:rPr>
            </w:pPr>
          </w:p>
        </w:tc>
        <w:tc>
          <w:tcPr>
            <w:tcW w:w="1155" w:type="dxa"/>
            <w:noWrap w:val="0"/>
            <w:vAlign w:val="top"/>
          </w:tcPr>
          <w:p>
            <w:pPr>
              <w:spacing w:line="38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6" w:hRule="atLeast"/>
        </w:trPr>
        <w:tc>
          <w:tcPr>
            <w:tcW w:w="1155" w:type="dxa"/>
            <w:noWrap w:val="0"/>
            <w:vAlign w:val="top"/>
          </w:tcPr>
          <w:p>
            <w:pPr>
              <w:spacing w:line="380" w:lineRule="exact"/>
              <w:rPr>
                <w:rFonts w:hint="eastAsia" w:ascii="宋体" w:hAnsi="宋体"/>
                <w:color w:val="auto"/>
                <w:szCs w:val="21"/>
                <w:highlight w:val="none"/>
              </w:rPr>
            </w:pPr>
          </w:p>
        </w:tc>
        <w:tc>
          <w:tcPr>
            <w:tcW w:w="1995" w:type="dxa"/>
            <w:noWrap w:val="0"/>
            <w:vAlign w:val="top"/>
          </w:tcPr>
          <w:p>
            <w:pPr>
              <w:spacing w:line="380" w:lineRule="exact"/>
              <w:rPr>
                <w:rFonts w:hint="eastAsia" w:ascii="宋体" w:hAnsi="宋体"/>
                <w:color w:val="auto"/>
                <w:szCs w:val="21"/>
                <w:highlight w:val="none"/>
              </w:rPr>
            </w:pPr>
          </w:p>
        </w:tc>
        <w:tc>
          <w:tcPr>
            <w:tcW w:w="3885" w:type="dxa"/>
            <w:noWrap w:val="0"/>
            <w:vAlign w:val="top"/>
          </w:tcPr>
          <w:p>
            <w:pPr>
              <w:spacing w:line="380" w:lineRule="exact"/>
              <w:rPr>
                <w:rFonts w:hint="eastAsia" w:ascii="宋体" w:hAnsi="宋体"/>
                <w:color w:val="auto"/>
                <w:szCs w:val="21"/>
                <w:highlight w:val="none"/>
              </w:rPr>
            </w:pPr>
          </w:p>
        </w:tc>
        <w:tc>
          <w:tcPr>
            <w:tcW w:w="3780" w:type="dxa"/>
            <w:noWrap w:val="0"/>
            <w:vAlign w:val="top"/>
          </w:tcPr>
          <w:p>
            <w:pPr>
              <w:spacing w:line="380" w:lineRule="exact"/>
              <w:rPr>
                <w:rFonts w:hint="eastAsia" w:ascii="宋体" w:hAnsi="宋体"/>
                <w:color w:val="auto"/>
                <w:szCs w:val="21"/>
                <w:highlight w:val="none"/>
              </w:rPr>
            </w:pPr>
          </w:p>
        </w:tc>
        <w:tc>
          <w:tcPr>
            <w:tcW w:w="1785" w:type="dxa"/>
            <w:noWrap w:val="0"/>
            <w:vAlign w:val="top"/>
          </w:tcPr>
          <w:p>
            <w:pPr>
              <w:spacing w:line="380" w:lineRule="exact"/>
              <w:rPr>
                <w:rFonts w:hint="eastAsia" w:ascii="宋体" w:hAnsi="宋体"/>
                <w:color w:val="auto"/>
                <w:szCs w:val="21"/>
                <w:highlight w:val="none"/>
              </w:rPr>
            </w:pPr>
          </w:p>
        </w:tc>
        <w:tc>
          <w:tcPr>
            <w:tcW w:w="1155" w:type="dxa"/>
            <w:noWrap w:val="0"/>
            <w:vAlign w:val="top"/>
          </w:tcPr>
          <w:p>
            <w:pPr>
              <w:spacing w:line="38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9" w:hRule="atLeast"/>
        </w:trPr>
        <w:tc>
          <w:tcPr>
            <w:tcW w:w="1155" w:type="dxa"/>
            <w:noWrap w:val="0"/>
            <w:vAlign w:val="top"/>
          </w:tcPr>
          <w:p>
            <w:pPr>
              <w:spacing w:line="380" w:lineRule="exact"/>
              <w:rPr>
                <w:rFonts w:hint="eastAsia" w:ascii="宋体" w:hAnsi="宋体"/>
                <w:color w:val="auto"/>
                <w:szCs w:val="21"/>
                <w:highlight w:val="none"/>
              </w:rPr>
            </w:pPr>
          </w:p>
        </w:tc>
        <w:tc>
          <w:tcPr>
            <w:tcW w:w="1995" w:type="dxa"/>
            <w:noWrap w:val="0"/>
            <w:vAlign w:val="top"/>
          </w:tcPr>
          <w:p>
            <w:pPr>
              <w:spacing w:line="380" w:lineRule="exact"/>
              <w:rPr>
                <w:rFonts w:hint="eastAsia" w:ascii="宋体" w:hAnsi="宋体"/>
                <w:color w:val="auto"/>
                <w:szCs w:val="21"/>
                <w:highlight w:val="none"/>
              </w:rPr>
            </w:pPr>
          </w:p>
        </w:tc>
        <w:tc>
          <w:tcPr>
            <w:tcW w:w="3885" w:type="dxa"/>
            <w:noWrap w:val="0"/>
            <w:vAlign w:val="top"/>
          </w:tcPr>
          <w:p>
            <w:pPr>
              <w:spacing w:line="380" w:lineRule="exact"/>
              <w:rPr>
                <w:rFonts w:hint="eastAsia" w:ascii="宋体" w:hAnsi="宋体"/>
                <w:color w:val="auto"/>
                <w:szCs w:val="21"/>
                <w:highlight w:val="none"/>
              </w:rPr>
            </w:pPr>
          </w:p>
        </w:tc>
        <w:tc>
          <w:tcPr>
            <w:tcW w:w="3780" w:type="dxa"/>
            <w:noWrap w:val="0"/>
            <w:vAlign w:val="top"/>
          </w:tcPr>
          <w:p>
            <w:pPr>
              <w:spacing w:line="380" w:lineRule="exact"/>
              <w:rPr>
                <w:rFonts w:hint="eastAsia" w:ascii="宋体" w:hAnsi="宋体"/>
                <w:color w:val="auto"/>
                <w:szCs w:val="21"/>
                <w:highlight w:val="none"/>
              </w:rPr>
            </w:pPr>
          </w:p>
        </w:tc>
        <w:tc>
          <w:tcPr>
            <w:tcW w:w="1785" w:type="dxa"/>
            <w:noWrap w:val="0"/>
            <w:vAlign w:val="top"/>
          </w:tcPr>
          <w:p>
            <w:pPr>
              <w:spacing w:line="380" w:lineRule="exact"/>
              <w:rPr>
                <w:rFonts w:hint="eastAsia" w:ascii="宋体" w:hAnsi="宋体"/>
                <w:color w:val="auto"/>
                <w:szCs w:val="21"/>
                <w:highlight w:val="none"/>
              </w:rPr>
            </w:pPr>
          </w:p>
        </w:tc>
        <w:tc>
          <w:tcPr>
            <w:tcW w:w="1155" w:type="dxa"/>
            <w:noWrap w:val="0"/>
            <w:vAlign w:val="top"/>
          </w:tcPr>
          <w:p>
            <w:pPr>
              <w:spacing w:line="38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9" w:hRule="atLeast"/>
        </w:trPr>
        <w:tc>
          <w:tcPr>
            <w:tcW w:w="1155" w:type="dxa"/>
            <w:noWrap w:val="0"/>
            <w:vAlign w:val="top"/>
          </w:tcPr>
          <w:p>
            <w:pPr>
              <w:spacing w:line="380" w:lineRule="exact"/>
              <w:rPr>
                <w:rFonts w:hint="eastAsia" w:ascii="宋体" w:hAnsi="宋体"/>
                <w:color w:val="auto"/>
                <w:szCs w:val="21"/>
                <w:highlight w:val="none"/>
              </w:rPr>
            </w:pPr>
          </w:p>
        </w:tc>
        <w:tc>
          <w:tcPr>
            <w:tcW w:w="1995" w:type="dxa"/>
            <w:noWrap w:val="0"/>
            <w:vAlign w:val="top"/>
          </w:tcPr>
          <w:p>
            <w:pPr>
              <w:spacing w:line="380" w:lineRule="exact"/>
              <w:rPr>
                <w:rFonts w:hint="eastAsia" w:ascii="宋体" w:hAnsi="宋体"/>
                <w:color w:val="auto"/>
                <w:szCs w:val="21"/>
                <w:highlight w:val="none"/>
              </w:rPr>
            </w:pPr>
          </w:p>
        </w:tc>
        <w:tc>
          <w:tcPr>
            <w:tcW w:w="3885" w:type="dxa"/>
            <w:noWrap w:val="0"/>
            <w:vAlign w:val="top"/>
          </w:tcPr>
          <w:p>
            <w:pPr>
              <w:spacing w:line="380" w:lineRule="exact"/>
              <w:rPr>
                <w:rFonts w:hint="eastAsia" w:ascii="宋体" w:hAnsi="宋体"/>
                <w:color w:val="auto"/>
                <w:szCs w:val="21"/>
                <w:highlight w:val="none"/>
              </w:rPr>
            </w:pPr>
          </w:p>
        </w:tc>
        <w:tc>
          <w:tcPr>
            <w:tcW w:w="3780" w:type="dxa"/>
            <w:noWrap w:val="0"/>
            <w:vAlign w:val="top"/>
          </w:tcPr>
          <w:p>
            <w:pPr>
              <w:spacing w:line="380" w:lineRule="exact"/>
              <w:rPr>
                <w:rFonts w:hint="eastAsia" w:ascii="宋体" w:hAnsi="宋体"/>
                <w:color w:val="auto"/>
                <w:szCs w:val="21"/>
                <w:highlight w:val="none"/>
              </w:rPr>
            </w:pPr>
          </w:p>
        </w:tc>
        <w:tc>
          <w:tcPr>
            <w:tcW w:w="1785" w:type="dxa"/>
            <w:noWrap w:val="0"/>
            <w:vAlign w:val="top"/>
          </w:tcPr>
          <w:p>
            <w:pPr>
              <w:spacing w:line="380" w:lineRule="exact"/>
              <w:rPr>
                <w:rFonts w:hint="eastAsia" w:ascii="宋体" w:hAnsi="宋体"/>
                <w:color w:val="auto"/>
                <w:szCs w:val="21"/>
                <w:highlight w:val="none"/>
              </w:rPr>
            </w:pPr>
          </w:p>
        </w:tc>
        <w:tc>
          <w:tcPr>
            <w:tcW w:w="1155" w:type="dxa"/>
            <w:noWrap w:val="0"/>
            <w:vAlign w:val="top"/>
          </w:tcPr>
          <w:p>
            <w:pPr>
              <w:spacing w:line="380" w:lineRule="exact"/>
              <w:rPr>
                <w:rFonts w:hint="eastAsia" w:ascii="宋体" w:hAnsi="宋体"/>
                <w:color w:val="auto"/>
                <w:szCs w:val="21"/>
                <w:highlight w:val="none"/>
              </w:rPr>
            </w:pPr>
          </w:p>
        </w:tc>
      </w:tr>
    </w:tbl>
    <w:p>
      <w:pPr>
        <w:spacing w:line="2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注：</w:t>
      </w:r>
    </w:p>
    <w:p>
      <w:pPr>
        <w:spacing w:line="2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1、投标人应根据招标文件</w:t>
      </w:r>
      <w:r>
        <w:rPr>
          <w:rFonts w:hint="eastAsia" w:ascii="宋体" w:hAnsi="宋体"/>
          <w:color w:val="auto"/>
          <w:szCs w:val="21"/>
          <w:highlight w:val="none"/>
        </w:rPr>
        <w:t>“第五章招标内容及要求” 中各条款要求</w:t>
      </w:r>
      <w:r>
        <w:rPr>
          <w:rFonts w:hint="eastAsia" w:ascii="宋体" w:hAnsi="宋体"/>
          <w:color w:val="auto"/>
          <w:szCs w:val="21"/>
          <w:highlight w:val="none"/>
        </w:rPr>
        <w:t xml:space="preserve">结合投标产品实际逐条进行说明，不可简单粘贴复制。特别对有具体参数要求的指标，投标人必须提供所投产品的具体参数值。 </w:t>
      </w:r>
    </w:p>
    <w:p>
      <w:pPr>
        <w:spacing w:line="2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2、如果所投产品技术条款有不满足或不响应或负偏离，不管是多么微小，投标人都应在投标文件中的“</w:t>
      </w:r>
      <w:r>
        <w:rPr>
          <w:rFonts w:hint="eastAsia" w:ascii="宋体" w:hAnsi="宋体"/>
          <w:color w:val="auto"/>
          <w:szCs w:val="21"/>
          <w:highlight w:val="none"/>
          <w:lang w:eastAsia="zh-CN"/>
        </w:rPr>
        <w:t>技术服务和商务偏离表</w:t>
      </w:r>
      <w:r>
        <w:rPr>
          <w:rFonts w:hint="eastAsia" w:ascii="宋体" w:hAnsi="宋体"/>
          <w:color w:val="auto"/>
          <w:szCs w:val="21"/>
          <w:highlight w:val="none"/>
        </w:rPr>
        <w:t>”中加以如实详细说明。</w:t>
      </w:r>
    </w:p>
    <w:p>
      <w:pPr>
        <w:spacing w:line="2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3、偏离情况栏中填写：正偏离、负偏离或无偏离。</w:t>
      </w:r>
    </w:p>
    <w:p>
      <w:pPr>
        <w:adjustRightInd w:val="0"/>
        <w:snapToGrid w:val="0"/>
        <w:spacing w:line="2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4、响应部分可后附详细说明及</w:t>
      </w:r>
      <w:r>
        <w:rPr>
          <w:rFonts w:hint="eastAsia" w:ascii="宋体" w:hAnsi="宋体"/>
          <w:color w:val="auto"/>
          <w:spacing w:val="-12"/>
          <w:szCs w:val="21"/>
          <w:highlight w:val="none"/>
        </w:rPr>
        <w:t>佐证技术材料</w:t>
      </w:r>
      <w:r>
        <w:rPr>
          <w:rFonts w:hint="eastAsia" w:ascii="宋体" w:hAnsi="宋体"/>
          <w:color w:val="auto"/>
          <w:szCs w:val="21"/>
          <w:highlight w:val="none"/>
        </w:rPr>
        <w:t>，并应在备注栏中注明投标文件中对应的页码范围。</w:t>
      </w:r>
    </w:p>
    <w:p>
      <w:pPr>
        <w:spacing w:line="280" w:lineRule="exact"/>
        <w:ind w:firstLine="412" w:firstLineChars="200"/>
        <w:rPr>
          <w:rFonts w:hint="eastAsia" w:ascii="宋体" w:hAnsi="宋体"/>
          <w:color w:val="auto"/>
          <w:szCs w:val="21"/>
          <w:highlight w:val="none"/>
        </w:rPr>
      </w:pPr>
      <w:r>
        <w:rPr>
          <w:rFonts w:hint="eastAsia" w:ascii="宋体" w:hAnsi="宋体"/>
          <w:color w:val="auto"/>
          <w:spacing w:val="-2"/>
          <w:szCs w:val="21"/>
          <w:highlight w:val="none"/>
        </w:rPr>
        <w:t>5、</w:t>
      </w:r>
      <w:r>
        <w:rPr>
          <w:rFonts w:hint="eastAsia" w:ascii="宋体" w:hAnsi="宋体"/>
          <w:color w:val="auto"/>
          <w:szCs w:val="21"/>
          <w:highlight w:val="none"/>
        </w:rPr>
        <w:t>本表如有多页，应逐页加盖公章。</w:t>
      </w:r>
    </w:p>
    <w:p>
      <w:pPr>
        <w:spacing w:line="380" w:lineRule="exact"/>
        <w:ind w:firstLine="210" w:firstLineChars="100"/>
        <w:rPr>
          <w:rFonts w:hint="eastAsia" w:ascii="宋体" w:hAnsi="宋体"/>
          <w:color w:val="auto"/>
          <w:szCs w:val="21"/>
          <w:highlight w:val="none"/>
          <w:u w:val="single"/>
        </w:rPr>
      </w:pPr>
      <w:r>
        <w:rPr>
          <w:rFonts w:hint="eastAsia" w:ascii="宋体" w:hAnsi="宋体"/>
          <w:color w:val="auto"/>
          <w:szCs w:val="21"/>
          <w:highlight w:val="none"/>
        </w:rPr>
        <w:t xml:space="preserve">投标人代表签字： </w:t>
      </w:r>
      <w:r>
        <w:rPr>
          <w:rFonts w:hint="eastAsia" w:ascii="宋体" w:hAnsi="宋体"/>
          <w:color w:val="auto"/>
          <w:szCs w:val="21"/>
          <w:highlight w:val="none"/>
          <w:u w:val="single"/>
        </w:rPr>
        <w:t xml:space="preserve">                            </w:t>
      </w:r>
    </w:p>
    <w:p>
      <w:pPr>
        <w:spacing w:line="380" w:lineRule="exact"/>
        <w:rPr>
          <w:rFonts w:hint="eastAsia" w:ascii="宋体" w:hAnsi="宋体"/>
          <w:b/>
          <w:color w:val="auto"/>
          <w:sz w:val="32"/>
          <w:szCs w:val="32"/>
          <w:highlight w:val="none"/>
        </w:rPr>
        <w:sectPr>
          <w:pgSz w:w="16840" w:h="11907" w:orient="landscape"/>
          <w:pgMar w:top="1752" w:right="1440" w:bottom="1752" w:left="1440" w:header="851" w:footer="992" w:gutter="0"/>
          <w:pgNumType w:fmt="decimal"/>
          <w:cols w:space="720" w:num="1"/>
          <w:docGrid w:linePitch="323" w:charSpace="-2"/>
        </w:sectPr>
      </w:pPr>
    </w:p>
    <w:p>
      <w:pPr>
        <w:spacing w:line="380" w:lineRule="exact"/>
        <w:rPr>
          <w:rFonts w:hint="eastAsia" w:ascii="宋体" w:hAnsi="宋体"/>
          <w:bCs/>
          <w:color w:val="auto"/>
          <w:szCs w:val="21"/>
          <w:highlight w:val="none"/>
        </w:rPr>
      </w:pPr>
      <w:r>
        <w:rPr>
          <w:rFonts w:hint="eastAsia" w:ascii="宋体" w:hAnsi="宋体"/>
          <w:bCs/>
          <w:color w:val="auto"/>
          <w:szCs w:val="21"/>
          <w:highlight w:val="none"/>
        </w:rPr>
        <w:t>附件5、</w:t>
      </w:r>
    </w:p>
    <w:p>
      <w:pPr>
        <w:spacing w:line="360" w:lineRule="exact"/>
        <w:jc w:val="center"/>
        <w:outlineLvl w:val="1"/>
        <w:rPr>
          <w:rFonts w:hint="eastAsia" w:ascii="宋体" w:hAnsi="宋体"/>
          <w:b/>
          <w:color w:val="auto"/>
          <w:sz w:val="32"/>
          <w:szCs w:val="32"/>
          <w:highlight w:val="none"/>
        </w:rPr>
      </w:pPr>
      <w:bookmarkStart w:id="15" w:name="_Toc3256"/>
      <w:bookmarkStart w:id="16" w:name="_Toc4894"/>
      <w:r>
        <w:rPr>
          <w:rFonts w:hint="eastAsia" w:ascii="宋体" w:hAnsi="宋体"/>
          <w:b/>
          <w:color w:val="auto"/>
          <w:sz w:val="32"/>
          <w:szCs w:val="32"/>
          <w:highlight w:val="none"/>
        </w:rPr>
        <w:t>技术服务体系与维保方案</w:t>
      </w:r>
      <w:bookmarkEnd w:id="15"/>
      <w:bookmarkEnd w:id="16"/>
    </w:p>
    <w:p>
      <w:pPr>
        <w:spacing w:line="360" w:lineRule="exact"/>
        <w:jc w:val="center"/>
        <w:rPr>
          <w:rFonts w:hint="eastAsia" w:ascii="宋体" w:hAnsi="宋体"/>
          <w:color w:val="auto"/>
          <w:szCs w:val="21"/>
          <w:highlight w:val="none"/>
          <w:u w:val="single"/>
        </w:rPr>
      </w:pPr>
    </w:p>
    <w:p>
      <w:pPr>
        <w:pStyle w:val="22"/>
        <w:spacing w:line="320" w:lineRule="exact"/>
        <w:ind w:firstLine="420" w:firstLineChars="200"/>
        <w:rPr>
          <w:rFonts w:hAnsi="宋体"/>
          <w:color w:val="auto"/>
          <w:sz w:val="21"/>
          <w:highlight w:val="none"/>
        </w:rPr>
      </w:pPr>
      <w:bookmarkStart w:id="17" w:name="_Toc7518"/>
      <w:bookmarkStart w:id="18" w:name="_Toc28511"/>
      <w:bookmarkStart w:id="19" w:name="_Toc11274"/>
      <w:r>
        <w:rPr>
          <w:rFonts w:hAnsi="宋体"/>
          <w:color w:val="auto"/>
          <w:sz w:val="21"/>
          <w:highlight w:val="none"/>
        </w:rPr>
        <w:t>投标人应根据招标文件“第五章招标内容及要求” 中第三大点技术服务要求的内容，结合自身实际情况，按下列顺序制作技术服务体系与维保方案：</w:t>
      </w:r>
      <w:bookmarkEnd w:id="17"/>
      <w:bookmarkEnd w:id="18"/>
      <w:bookmarkEnd w:id="19"/>
    </w:p>
    <w:p>
      <w:pPr>
        <w:spacing w:line="300" w:lineRule="exact"/>
        <w:rPr>
          <w:rFonts w:hint="eastAsia" w:ascii="宋体" w:hAnsi="宋体"/>
          <w:color w:val="auto"/>
          <w:highlight w:val="none"/>
        </w:rPr>
      </w:pPr>
    </w:p>
    <w:p>
      <w:pPr>
        <w:numPr>
          <w:ilvl w:val="0"/>
          <w:numId w:val="5"/>
        </w:numPr>
        <w:spacing w:line="300" w:lineRule="exact"/>
        <w:ind w:firstLine="420" w:firstLineChars="200"/>
        <w:rPr>
          <w:rFonts w:hint="eastAsia" w:ascii="宋体" w:hAnsi="宋体"/>
          <w:color w:val="auto"/>
          <w:highlight w:val="none"/>
        </w:rPr>
      </w:pPr>
      <w:r>
        <w:rPr>
          <w:rFonts w:hint="eastAsia" w:ascii="宋体" w:hAnsi="宋体"/>
          <w:color w:val="auto"/>
          <w:highlight w:val="none"/>
        </w:rPr>
        <w:t>技术培训方案；</w:t>
      </w:r>
    </w:p>
    <w:p>
      <w:pPr>
        <w:numPr>
          <w:ilvl w:val="0"/>
          <w:numId w:val="5"/>
        </w:numPr>
        <w:spacing w:line="300" w:lineRule="exact"/>
        <w:ind w:firstLine="420" w:firstLineChars="200"/>
        <w:rPr>
          <w:rFonts w:hint="eastAsia" w:ascii="宋体" w:hAnsi="宋体"/>
          <w:color w:val="auto"/>
          <w:highlight w:val="none"/>
        </w:rPr>
      </w:pPr>
      <w:r>
        <w:rPr>
          <w:rFonts w:hint="eastAsia" w:ascii="宋体" w:hAnsi="宋体"/>
          <w:color w:val="auto"/>
          <w:highlight w:val="none"/>
        </w:rPr>
        <w:t>保修期内的维保范围和内容；</w:t>
      </w:r>
    </w:p>
    <w:p>
      <w:pPr>
        <w:numPr>
          <w:ilvl w:val="0"/>
          <w:numId w:val="5"/>
        </w:numPr>
        <w:spacing w:line="300" w:lineRule="exact"/>
        <w:ind w:firstLine="420" w:firstLineChars="200"/>
        <w:rPr>
          <w:rFonts w:hint="eastAsia" w:ascii="宋体" w:hAnsi="宋体"/>
          <w:color w:val="auto"/>
          <w:szCs w:val="21"/>
          <w:highlight w:val="none"/>
        </w:rPr>
      </w:pPr>
      <w:r>
        <w:rPr>
          <w:rFonts w:hint="eastAsia" w:ascii="宋体" w:hAnsi="宋体"/>
          <w:color w:val="auto"/>
          <w:highlight w:val="none"/>
        </w:rPr>
        <w:t>保修期后的维保服务内容及服务费用</w:t>
      </w:r>
      <w:r>
        <w:rPr>
          <w:rFonts w:hint="eastAsia" w:ascii="宋体" w:hAnsi="宋体"/>
          <w:color w:val="auto"/>
          <w:szCs w:val="21"/>
          <w:highlight w:val="none"/>
        </w:rPr>
        <w:t>；</w:t>
      </w:r>
    </w:p>
    <w:p>
      <w:pPr>
        <w:numPr>
          <w:ilvl w:val="0"/>
          <w:numId w:val="5"/>
        </w:numPr>
        <w:spacing w:line="300" w:lineRule="exact"/>
        <w:ind w:firstLine="420" w:firstLineChars="200"/>
        <w:rPr>
          <w:rFonts w:hint="eastAsia" w:ascii="宋体" w:hAnsi="宋体"/>
          <w:color w:val="auto"/>
          <w:highlight w:val="none"/>
        </w:rPr>
      </w:pPr>
      <w:r>
        <w:rPr>
          <w:rFonts w:hint="eastAsia" w:ascii="宋体" w:hAnsi="宋体"/>
          <w:color w:val="auto"/>
          <w:highlight w:val="none"/>
        </w:rPr>
        <w:t>售后服务承诺、保障措施：应填写本地化服务情况一览表，说明有无本地化服务机构；涉及多个品目号不同产品其维保机构不同的，应按品目号制作。</w:t>
      </w:r>
    </w:p>
    <w:p>
      <w:pPr>
        <w:numPr>
          <w:ilvl w:val="0"/>
          <w:numId w:val="5"/>
        </w:numPr>
        <w:spacing w:line="300" w:lineRule="exact"/>
        <w:ind w:firstLine="420" w:firstLineChars="200"/>
        <w:rPr>
          <w:rFonts w:hint="eastAsia" w:ascii="宋体" w:hAnsi="宋体"/>
          <w:color w:val="auto"/>
          <w:highlight w:val="none"/>
        </w:rPr>
      </w:pPr>
      <w:r>
        <w:rPr>
          <w:rFonts w:hint="eastAsia" w:ascii="宋体" w:hAnsi="宋体"/>
          <w:color w:val="auto"/>
          <w:highlight w:val="none"/>
        </w:rPr>
        <w:t>投标人视自身情况提供的</w:t>
      </w:r>
      <w:r>
        <w:rPr>
          <w:rFonts w:ascii="宋体" w:hAnsi="宋体"/>
          <w:color w:val="auto"/>
          <w:highlight w:val="none"/>
        </w:rPr>
        <w:t>更优、更合理的</w:t>
      </w:r>
      <w:r>
        <w:rPr>
          <w:rFonts w:hint="eastAsia" w:ascii="宋体" w:hAnsi="宋体"/>
          <w:color w:val="auto"/>
          <w:highlight w:val="none"/>
        </w:rPr>
        <w:t>售后</w:t>
      </w:r>
      <w:r>
        <w:rPr>
          <w:rFonts w:ascii="宋体" w:hAnsi="宋体"/>
          <w:color w:val="auto"/>
          <w:highlight w:val="none"/>
        </w:rPr>
        <w:t>服务承诺</w:t>
      </w:r>
      <w:r>
        <w:rPr>
          <w:rFonts w:hint="eastAsia" w:ascii="宋体" w:hAnsi="宋体"/>
          <w:color w:val="auto"/>
          <w:highlight w:val="none"/>
        </w:rPr>
        <w:t>（如有）；</w:t>
      </w:r>
    </w:p>
    <w:p>
      <w:pPr>
        <w:numPr>
          <w:ilvl w:val="0"/>
          <w:numId w:val="5"/>
        </w:numPr>
        <w:spacing w:line="300" w:lineRule="exact"/>
        <w:ind w:firstLine="420" w:firstLineChars="200"/>
        <w:rPr>
          <w:rFonts w:hint="eastAsia" w:ascii="宋体" w:hAnsi="宋体"/>
          <w:color w:val="auto"/>
          <w:highlight w:val="none"/>
        </w:rPr>
      </w:pPr>
      <w:r>
        <w:rPr>
          <w:rFonts w:hint="eastAsia" w:ascii="宋体" w:hAnsi="宋体"/>
          <w:color w:val="auto"/>
          <w:highlight w:val="none"/>
        </w:rPr>
        <w:t>投标人认为需填写的其它内容。</w:t>
      </w:r>
    </w:p>
    <w:p>
      <w:pPr>
        <w:rPr>
          <w:rFonts w:hint="eastAsia" w:ascii="宋体" w:hAnsi="宋体"/>
          <w:color w:val="auto"/>
          <w:highlight w:val="none"/>
        </w:rPr>
      </w:pPr>
    </w:p>
    <w:p>
      <w:pPr>
        <w:rPr>
          <w:rFonts w:hint="eastAsia" w:ascii="宋体" w:hAnsi="宋体"/>
          <w:color w:val="auto"/>
          <w:highlight w:val="none"/>
        </w:rPr>
      </w:pPr>
    </w:p>
    <w:p>
      <w:pPr>
        <w:pStyle w:val="6"/>
        <w:spacing w:before="0" w:beforeLines="0" w:after="0" w:afterLines="0" w:line="360" w:lineRule="exact"/>
        <w:jc w:val="center"/>
        <w:rPr>
          <w:rFonts w:hint="eastAsia" w:ascii="宋体" w:hAnsi="宋体"/>
          <w:b w:val="0"/>
          <w:color w:val="auto"/>
          <w:sz w:val="24"/>
          <w:szCs w:val="24"/>
          <w:highlight w:val="none"/>
        </w:rPr>
      </w:pPr>
      <w:bookmarkStart w:id="20" w:name="_Toc32379"/>
      <w:r>
        <w:rPr>
          <w:rFonts w:hint="eastAsia" w:ascii="宋体" w:hAnsi="宋体"/>
          <w:b w:val="0"/>
          <w:color w:val="auto"/>
          <w:sz w:val="24"/>
          <w:szCs w:val="24"/>
          <w:highlight w:val="none"/>
        </w:rPr>
        <w:t>本地化服务情况一览表</w:t>
      </w:r>
      <w:bookmarkEnd w:id="20"/>
    </w:p>
    <w:p>
      <w:pPr>
        <w:rPr>
          <w:rFonts w:hint="eastAsia" w:ascii="宋体" w:hAnsi="宋体"/>
          <w:color w:val="auto"/>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467"/>
        <w:gridCol w:w="793"/>
        <w:gridCol w:w="1155"/>
        <w:gridCol w:w="1785"/>
        <w:gridCol w:w="1155"/>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1807" w:type="dxa"/>
            <w:gridSpan w:val="3"/>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投标人全称</w:t>
            </w:r>
          </w:p>
        </w:tc>
        <w:tc>
          <w:tcPr>
            <w:tcW w:w="6640" w:type="dxa"/>
            <w:gridSpan w:val="4"/>
            <w:noWrap w:val="0"/>
            <w:vAlign w:val="top"/>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6" w:hRule="atLeast"/>
          <w:jc w:val="center"/>
        </w:trPr>
        <w:tc>
          <w:tcPr>
            <w:tcW w:w="1807" w:type="dxa"/>
            <w:gridSpan w:val="3"/>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服务形式</w:t>
            </w:r>
          </w:p>
        </w:tc>
        <w:tc>
          <w:tcPr>
            <w:tcW w:w="6640" w:type="dxa"/>
            <w:gridSpan w:val="4"/>
            <w:noWrap w:val="0"/>
            <w:vAlign w:val="center"/>
          </w:tcPr>
          <w:p>
            <w:pPr>
              <w:rPr>
                <w:rFonts w:hint="eastAsia" w:ascii="宋体" w:hAnsi="宋体"/>
                <w:color w:val="auto"/>
                <w:szCs w:val="21"/>
                <w:highlight w:val="none"/>
              </w:rPr>
            </w:pPr>
            <w:r>
              <w:rPr>
                <w:rFonts w:hint="eastAsia" w:ascii="宋体" w:hAnsi="宋体"/>
                <w:color w:val="auto"/>
                <w:szCs w:val="21"/>
                <w:highlight w:val="none"/>
              </w:rPr>
              <w:t>□ 在福建省具有固定的办公场所及人员</w:t>
            </w:r>
          </w:p>
          <w:p>
            <w:pPr>
              <w:rPr>
                <w:rFonts w:hint="eastAsia" w:ascii="宋体" w:hAnsi="宋体"/>
                <w:color w:val="auto"/>
                <w:szCs w:val="21"/>
                <w:highlight w:val="none"/>
              </w:rPr>
            </w:pPr>
            <w:r>
              <w:rPr>
                <w:rFonts w:hint="eastAsia" w:ascii="宋体" w:hAnsi="宋体"/>
                <w:color w:val="auto"/>
                <w:szCs w:val="21"/>
                <w:highlight w:val="none"/>
              </w:rPr>
              <w:t>□ 在福建省具有固定的合作伙伴</w:t>
            </w:r>
          </w:p>
          <w:p>
            <w:pPr>
              <w:rPr>
                <w:rFonts w:hint="eastAsia" w:ascii="宋体" w:hAnsi="宋体"/>
                <w:color w:val="auto"/>
                <w:szCs w:val="21"/>
                <w:highlight w:val="none"/>
              </w:rPr>
            </w:pPr>
            <w:r>
              <w:rPr>
                <w:rFonts w:hint="eastAsia" w:ascii="宋体" w:hAnsi="宋体"/>
                <w:color w:val="auto"/>
                <w:szCs w:val="21"/>
                <w:highlight w:val="none"/>
              </w:rPr>
              <w:t>□ 在福建省注册成立</w:t>
            </w:r>
          </w:p>
          <w:p>
            <w:pPr>
              <w:rPr>
                <w:rFonts w:hint="eastAsia" w:ascii="宋体" w:hAnsi="宋体"/>
                <w:color w:val="auto"/>
                <w:szCs w:val="21"/>
                <w:highlight w:val="none"/>
              </w:rPr>
            </w:pPr>
            <w:r>
              <w:rPr>
                <w:rFonts w:hint="eastAsia" w:ascii="宋体" w:hAnsi="宋体"/>
                <w:color w:val="auto"/>
                <w:szCs w:val="21"/>
                <w:highlight w:val="none"/>
              </w:rPr>
              <w:t>□ 无上述情形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8" w:hRule="atLeast"/>
          <w:jc w:val="center"/>
        </w:trPr>
        <w:tc>
          <w:tcPr>
            <w:tcW w:w="547" w:type="dxa"/>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本地化服务机构</w:t>
            </w:r>
          </w:p>
        </w:tc>
        <w:tc>
          <w:tcPr>
            <w:tcW w:w="1260" w:type="dxa"/>
            <w:gridSpan w:val="2"/>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服务机构全称</w:t>
            </w:r>
          </w:p>
        </w:tc>
        <w:tc>
          <w:tcPr>
            <w:tcW w:w="6640" w:type="dxa"/>
            <w:gridSpan w:val="4"/>
            <w:noWrap w:val="0"/>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8" w:hRule="atLeast"/>
          <w:jc w:val="center"/>
        </w:trPr>
        <w:tc>
          <w:tcPr>
            <w:tcW w:w="547" w:type="dxa"/>
            <w:vMerge w:val="continue"/>
            <w:noWrap w:val="0"/>
            <w:vAlign w:val="center"/>
          </w:tcPr>
          <w:p>
            <w:pPr>
              <w:jc w:val="center"/>
              <w:rPr>
                <w:rFonts w:hint="eastAsia" w:ascii="宋体" w:hAnsi="宋体"/>
                <w:color w:val="auto"/>
                <w:szCs w:val="21"/>
                <w:highlight w:val="none"/>
              </w:rPr>
            </w:pPr>
          </w:p>
        </w:tc>
        <w:tc>
          <w:tcPr>
            <w:tcW w:w="1260" w:type="dxa"/>
            <w:gridSpan w:val="2"/>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服务机构地址</w:t>
            </w:r>
          </w:p>
        </w:tc>
        <w:tc>
          <w:tcPr>
            <w:tcW w:w="6640" w:type="dxa"/>
            <w:gridSpan w:val="4"/>
            <w:noWrap w:val="0"/>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547" w:type="dxa"/>
            <w:vMerge w:val="continue"/>
            <w:noWrap w:val="0"/>
            <w:vAlign w:val="center"/>
          </w:tcPr>
          <w:p>
            <w:pPr>
              <w:rPr>
                <w:rFonts w:hint="eastAsia" w:ascii="宋体" w:hAnsi="宋体"/>
                <w:color w:val="auto"/>
                <w:szCs w:val="21"/>
                <w:highlight w:val="none"/>
              </w:rPr>
            </w:pPr>
          </w:p>
        </w:tc>
        <w:tc>
          <w:tcPr>
            <w:tcW w:w="467" w:type="dxa"/>
            <w:vMerge w:val="restart"/>
            <w:noWrap w:val="0"/>
            <w:vAlign w:val="center"/>
          </w:tcPr>
          <w:p>
            <w:pPr>
              <w:rPr>
                <w:rFonts w:hint="eastAsia" w:ascii="宋体" w:hAnsi="宋体"/>
                <w:color w:val="auto"/>
                <w:szCs w:val="21"/>
                <w:highlight w:val="none"/>
              </w:rPr>
            </w:pPr>
            <w:r>
              <w:rPr>
                <w:rFonts w:hint="eastAsia" w:ascii="宋体" w:hAnsi="宋体"/>
                <w:color w:val="auto"/>
                <w:szCs w:val="21"/>
                <w:highlight w:val="none"/>
              </w:rPr>
              <w:t>人员信息</w:t>
            </w:r>
          </w:p>
        </w:tc>
        <w:tc>
          <w:tcPr>
            <w:tcW w:w="793" w:type="dxa"/>
            <w:noWrap w:val="0"/>
            <w:vAlign w:val="center"/>
          </w:tcPr>
          <w:p>
            <w:pPr>
              <w:rPr>
                <w:rFonts w:hint="eastAsia" w:ascii="宋体" w:hAnsi="宋体"/>
                <w:color w:val="auto"/>
                <w:szCs w:val="21"/>
                <w:highlight w:val="none"/>
              </w:rPr>
            </w:pPr>
          </w:p>
        </w:tc>
        <w:tc>
          <w:tcPr>
            <w:tcW w:w="1155"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姓名</w:t>
            </w:r>
          </w:p>
        </w:tc>
        <w:tc>
          <w:tcPr>
            <w:tcW w:w="1785"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学历或职称（本表后附证书）</w:t>
            </w:r>
          </w:p>
        </w:tc>
        <w:tc>
          <w:tcPr>
            <w:tcW w:w="1155"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2545"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jc w:val="center"/>
        </w:trPr>
        <w:tc>
          <w:tcPr>
            <w:tcW w:w="547" w:type="dxa"/>
            <w:vMerge w:val="continue"/>
            <w:noWrap w:val="0"/>
            <w:vAlign w:val="center"/>
          </w:tcPr>
          <w:p>
            <w:pPr>
              <w:jc w:val="center"/>
              <w:rPr>
                <w:rFonts w:hint="eastAsia" w:ascii="宋体" w:hAnsi="宋体"/>
                <w:color w:val="auto"/>
                <w:szCs w:val="21"/>
                <w:highlight w:val="none"/>
              </w:rPr>
            </w:pPr>
          </w:p>
        </w:tc>
        <w:tc>
          <w:tcPr>
            <w:tcW w:w="467" w:type="dxa"/>
            <w:vMerge w:val="continue"/>
            <w:noWrap w:val="0"/>
            <w:vAlign w:val="center"/>
          </w:tcPr>
          <w:p>
            <w:pPr>
              <w:jc w:val="center"/>
              <w:rPr>
                <w:rFonts w:hint="eastAsia" w:ascii="宋体" w:hAnsi="宋体"/>
                <w:color w:val="auto"/>
                <w:szCs w:val="21"/>
                <w:highlight w:val="none"/>
              </w:rPr>
            </w:pPr>
          </w:p>
        </w:tc>
        <w:tc>
          <w:tcPr>
            <w:tcW w:w="793"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负责人</w:t>
            </w:r>
          </w:p>
        </w:tc>
        <w:tc>
          <w:tcPr>
            <w:tcW w:w="1155" w:type="dxa"/>
            <w:noWrap w:val="0"/>
            <w:vAlign w:val="top"/>
          </w:tcPr>
          <w:p>
            <w:pPr>
              <w:rPr>
                <w:rFonts w:hint="eastAsia" w:ascii="宋体" w:hAnsi="宋体"/>
                <w:color w:val="auto"/>
                <w:szCs w:val="21"/>
                <w:highlight w:val="none"/>
              </w:rPr>
            </w:pPr>
          </w:p>
        </w:tc>
        <w:tc>
          <w:tcPr>
            <w:tcW w:w="1785" w:type="dxa"/>
            <w:noWrap w:val="0"/>
            <w:vAlign w:val="top"/>
          </w:tcPr>
          <w:p>
            <w:pPr>
              <w:rPr>
                <w:rFonts w:hint="eastAsia" w:ascii="宋体" w:hAnsi="宋体"/>
                <w:color w:val="auto"/>
                <w:szCs w:val="21"/>
                <w:highlight w:val="none"/>
              </w:rPr>
            </w:pPr>
          </w:p>
        </w:tc>
        <w:tc>
          <w:tcPr>
            <w:tcW w:w="1155" w:type="dxa"/>
            <w:noWrap w:val="0"/>
            <w:vAlign w:val="top"/>
          </w:tcPr>
          <w:p>
            <w:pPr>
              <w:rPr>
                <w:rFonts w:hint="eastAsia" w:ascii="宋体" w:hAnsi="宋体"/>
                <w:color w:val="auto"/>
                <w:szCs w:val="21"/>
                <w:highlight w:val="none"/>
              </w:rPr>
            </w:pPr>
          </w:p>
        </w:tc>
        <w:tc>
          <w:tcPr>
            <w:tcW w:w="2545" w:type="dxa"/>
            <w:noWrap w:val="0"/>
            <w:vAlign w:val="top"/>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jc w:val="center"/>
        </w:trPr>
        <w:tc>
          <w:tcPr>
            <w:tcW w:w="547" w:type="dxa"/>
            <w:vMerge w:val="continue"/>
            <w:noWrap w:val="0"/>
            <w:vAlign w:val="center"/>
          </w:tcPr>
          <w:p>
            <w:pPr>
              <w:jc w:val="center"/>
              <w:rPr>
                <w:rFonts w:hint="eastAsia" w:ascii="宋体" w:hAnsi="宋体"/>
                <w:color w:val="auto"/>
                <w:szCs w:val="21"/>
                <w:highlight w:val="none"/>
              </w:rPr>
            </w:pPr>
          </w:p>
        </w:tc>
        <w:tc>
          <w:tcPr>
            <w:tcW w:w="467" w:type="dxa"/>
            <w:vMerge w:val="continue"/>
            <w:noWrap w:val="0"/>
            <w:vAlign w:val="center"/>
          </w:tcPr>
          <w:p>
            <w:pPr>
              <w:jc w:val="center"/>
              <w:rPr>
                <w:rFonts w:hint="eastAsia" w:ascii="宋体" w:hAnsi="宋体"/>
                <w:color w:val="auto"/>
                <w:szCs w:val="21"/>
                <w:highlight w:val="none"/>
              </w:rPr>
            </w:pPr>
          </w:p>
        </w:tc>
        <w:tc>
          <w:tcPr>
            <w:tcW w:w="793" w:type="dxa"/>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服务人员名单</w:t>
            </w:r>
          </w:p>
        </w:tc>
        <w:tc>
          <w:tcPr>
            <w:tcW w:w="1155" w:type="dxa"/>
            <w:noWrap w:val="0"/>
            <w:vAlign w:val="top"/>
          </w:tcPr>
          <w:p>
            <w:pPr>
              <w:rPr>
                <w:rFonts w:hint="eastAsia" w:ascii="宋体" w:hAnsi="宋体"/>
                <w:color w:val="auto"/>
                <w:szCs w:val="21"/>
                <w:highlight w:val="none"/>
              </w:rPr>
            </w:pPr>
          </w:p>
        </w:tc>
        <w:tc>
          <w:tcPr>
            <w:tcW w:w="1785" w:type="dxa"/>
            <w:noWrap w:val="0"/>
            <w:vAlign w:val="top"/>
          </w:tcPr>
          <w:p>
            <w:pPr>
              <w:rPr>
                <w:rFonts w:hint="eastAsia" w:ascii="宋体" w:hAnsi="宋体"/>
                <w:color w:val="auto"/>
                <w:szCs w:val="21"/>
                <w:highlight w:val="none"/>
              </w:rPr>
            </w:pPr>
          </w:p>
        </w:tc>
        <w:tc>
          <w:tcPr>
            <w:tcW w:w="1155" w:type="dxa"/>
            <w:noWrap w:val="0"/>
            <w:vAlign w:val="top"/>
          </w:tcPr>
          <w:p>
            <w:pPr>
              <w:rPr>
                <w:rFonts w:hint="eastAsia" w:ascii="宋体" w:hAnsi="宋体"/>
                <w:color w:val="auto"/>
                <w:szCs w:val="21"/>
                <w:highlight w:val="none"/>
              </w:rPr>
            </w:pPr>
          </w:p>
        </w:tc>
        <w:tc>
          <w:tcPr>
            <w:tcW w:w="2545" w:type="dxa"/>
            <w:noWrap w:val="0"/>
            <w:vAlign w:val="top"/>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47" w:type="dxa"/>
            <w:vMerge w:val="continue"/>
            <w:noWrap w:val="0"/>
            <w:vAlign w:val="top"/>
          </w:tcPr>
          <w:p>
            <w:pPr>
              <w:rPr>
                <w:rFonts w:hint="eastAsia" w:ascii="宋体" w:hAnsi="宋体"/>
                <w:color w:val="auto"/>
                <w:szCs w:val="21"/>
                <w:highlight w:val="none"/>
              </w:rPr>
            </w:pPr>
          </w:p>
        </w:tc>
        <w:tc>
          <w:tcPr>
            <w:tcW w:w="467" w:type="dxa"/>
            <w:vMerge w:val="continue"/>
            <w:noWrap w:val="0"/>
            <w:vAlign w:val="top"/>
          </w:tcPr>
          <w:p>
            <w:pPr>
              <w:rPr>
                <w:rFonts w:hint="eastAsia" w:ascii="宋体" w:hAnsi="宋体"/>
                <w:color w:val="auto"/>
                <w:szCs w:val="21"/>
                <w:highlight w:val="none"/>
              </w:rPr>
            </w:pPr>
          </w:p>
        </w:tc>
        <w:tc>
          <w:tcPr>
            <w:tcW w:w="793" w:type="dxa"/>
            <w:vMerge w:val="continue"/>
            <w:noWrap w:val="0"/>
            <w:vAlign w:val="top"/>
          </w:tcPr>
          <w:p>
            <w:pPr>
              <w:rPr>
                <w:rFonts w:hint="eastAsia" w:ascii="宋体" w:hAnsi="宋体"/>
                <w:color w:val="auto"/>
                <w:szCs w:val="21"/>
                <w:highlight w:val="none"/>
              </w:rPr>
            </w:pPr>
          </w:p>
        </w:tc>
        <w:tc>
          <w:tcPr>
            <w:tcW w:w="1155" w:type="dxa"/>
            <w:noWrap w:val="0"/>
            <w:vAlign w:val="top"/>
          </w:tcPr>
          <w:p>
            <w:pPr>
              <w:rPr>
                <w:rFonts w:hint="eastAsia" w:ascii="宋体" w:hAnsi="宋体"/>
                <w:color w:val="auto"/>
                <w:szCs w:val="21"/>
                <w:highlight w:val="none"/>
              </w:rPr>
            </w:pPr>
          </w:p>
        </w:tc>
        <w:tc>
          <w:tcPr>
            <w:tcW w:w="1785" w:type="dxa"/>
            <w:noWrap w:val="0"/>
            <w:vAlign w:val="top"/>
          </w:tcPr>
          <w:p>
            <w:pPr>
              <w:rPr>
                <w:rFonts w:hint="eastAsia" w:ascii="宋体" w:hAnsi="宋体"/>
                <w:color w:val="auto"/>
                <w:szCs w:val="21"/>
                <w:highlight w:val="none"/>
              </w:rPr>
            </w:pPr>
          </w:p>
        </w:tc>
        <w:tc>
          <w:tcPr>
            <w:tcW w:w="1155" w:type="dxa"/>
            <w:noWrap w:val="0"/>
            <w:vAlign w:val="top"/>
          </w:tcPr>
          <w:p>
            <w:pPr>
              <w:rPr>
                <w:rFonts w:hint="eastAsia" w:ascii="宋体" w:hAnsi="宋体"/>
                <w:color w:val="auto"/>
                <w:szCs w:val="21"/>
                <w:highlight w:val="none"/>
              </w:rPr>
            </w:pPr>
          </w:p>
        </w:tc>
        <w:tc>
          <w:tcPr>
            <w:tcW w:w="2545" w:type="dxa"/>
            <w:noWrap w:val="0"/>
            <w:vAlign w:val="top"/>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47" w:type="dxa"/>
            <w:vMerge w:val="continue"/>
            <w:noWrap w:val="0"/>
            <w:vAlign w:val="top"/>
          </w:tcPr>
          <w:p>
            <w:pPr>
              <w:rPr>
                <w:rFonts w:hint="eastAsia" w:ascii="宋体" w:hAnsi="宋体"/>
                <w:color w:val="auto"/>
                <w:szCs w:val="21"/>
                <w:highlight w:val="none"/>
              </w:rPr>
            </w:pPr>
          </w:p>
        </w:tc>
        <w:tc>
          <w:tcPr>
            <w:tcW w:w="467" w:type="dxa"/>
            <w:vMerge w:val="continue"/>
            <w:noWrap w:val="0"/>
            <w:vAlign w:val="top"/>
          </w:tcPr>
          <w:p>
            <w:pPr>
              <w:rPr>
                <w:rFonts w:hint="eastAsia" w:ascii="宋体" w:hAnsi="宋体"/>
                <w:color w:val="auto"/>
                <w:szCs w:val="21"/>
                <w:highlight w:val="none"/>
              </w:rPr>
            </w:pPr>
          </w:p>
        </w:tc>
        <w:tc>
          <w:tcPr>
            <w:tcW w:w="793" w:type="dxa"/>
            <w:vMerge w:val="continue"/>
            <w:noWrap w:val="0"/>
            <w:vAlign w:val="top"/>
          </w:tcPr>
          <w:p>
            <w:pPr>
              <w:rPr>
                <w:rFonts w:hint="eastAsia" w:ascii="宋体" w:hAnsi="宋体"/>
                <w:color w:val="auto"/>
                <w:szCs w:val="21"/>
                <w:highlight w:val="none"/>
              </w:rPr>
            </w:pPr>
          </w:p>
        </w:tc>
        <w:tc>
          <w:tcPr>
            <w:tcW w:w="1155" w:type="dxa"/>
            <w:noWrap w:val="0"/>
            <w:vAlign w:val="top"/>
          </w:tcPr>
          <w:p>
            <w:pPr>
              <w:rPr>
                <w:rFonts w:hint="eastAsia" w:ascii="宋体" w:hAnsi="宋体"/>
                <w:color w:val="auto"/>
                <w:szCs w:val="21"/>
                <w:highlight w:val="none"/>
              </w:rPr>
            </w:pPr>
          </w:p>
        </w:tc>
        <w:tc>
          <w:tcPr>
            <w:tcW w:w="1785" w:type="dxa"/>
            <w:noWrap w:val="0"/>
            <w:vAlign w:val="top"/>
          </w:tcPr>
          <w:p>
            <w:pPr>
              <w:rPr>
                <w:rFonts w:hint="eastAsia" w:ascii="宋体" w:hAnsi="宋体"/>
                <w:color w:val="auto"/>
                <w:szCs w:val="21"/>
                <w:highlight w:val="none"/>
              </w:rPr>
            </w:pPr>
          </w:p>
        </w:tc>
        <w:tc>
          <w:tcPr>
            <w:tcW w:w="3700" w:type="dxa"/>
            <w:gridSpan w:val="2"/>
            <w:noWrap w:val="0"/>
            <w:vAlign w:val="top"/>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7" w:hRule="atLeast"/>
          <w:jc w:val="center"/>
        </w:trPr>
        <w:tc>
          <w:tcPr>
            <w:tcW w:w="8447" w:type="dxa"/>
            <w:gridSpan w:val="7"/>
            <w:noWrap w:val="0"/>
            <w:vAlign w:val="top"/>
          </w:tcPr>
          <w:p>
            <w:pPr>
              <w:rPr>
                <w:rFonts w:hint="eastAsia" w:ascii="宋体" w:hAnsi="宋体"/>
                <w:color w:val="auto"/>
                <w:szCs w:val="21"/>
                <w:highlight w:val="none"/>
              </w:rPr>
            </w:pPr>
            <w:r>
              <w:rPr>
                <w:rFonts w:hint="eastAsia" w:ascii="宋体" w:hAnsi="宋体"/>
                <w:color w:val="auto"/>
                <w:szCs w:val="21"/>
                <w:highlight w:val="none"/>
              </w:rPr>
              <w:t>其他有关证明文件说明（如营业执照等，如有）：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8" w:hRule="atLeast"/>
          <w:jc w:val="center"/>
        </w:trPr>
        <w:tc>
          <w:tcPr>
            <w:tcW w:w="8447" w:type="dxa"/>
            <w:gridSpan w:val="7"/>
            <w:noWrap w:val="0"/>
            <w:vAlign w:val="center"/>
          </w:tcPr>
          <w:p>
            <w:pPr>
              <w:rPr>
                <w:rFonts w:hint="eastAsia" w:ascii="宋体" w:hAnsi="宋体"/>
                <w:color w:val="auto"/>
                <w:szCs w:val="21"/>
                <w:highlight w:val="none"/>
              </w:rPr>
            </w:pPr>
            <w:r>
              <w:rPr>
                <w:rFonts w:hint="eastAsia" w:ascii="宋体" w:hAnsi="宋体"/>
                <w:color w:val="auto"/>
                <w:szCs w:val="21"/>
                <w:highlight w:val="none"/>
              </w:rPr>
              <w:t>备注：具有合作伙伴的应填写合作伙伴的相关资料，并提供双方的合作协议以及合作伙伴的营业执照等证明文件。（如有相关资料请附本表后）</w:t>
            </w:r>
          </w:p>
        </w:tc>
      </w:tr>
    </w:tbl>
    <w:p>
      <w:pPr>
        <w:ind w:firstLine="3780" w:firstLineChars="1800"/>
        <w:rPr>
          <w:rFonts w:hint="eastAsia" w:ascii="宋体" w:hAnsi="宋体"/>
          <w:color w:val="auto"/>
          <w:szCs w:val="21"/>
          <w:highlight w:val="none"/>
        </w:rPr>
      </w:pPr>
    </w:p>
    <w:p>
      <w:pPr>
        <w:ind w:firstLine="3780" w:firstLineChars="1800"/>
        <w:rPr>
          <w:rFonts w:hint="eastAsia" w:ascii="宋体" w:hAnsi="宋体"/>
          <w:b/>
          <w:color w:val="auto"/>
          <w:sz w:val="36"/>
          <w:highlight w:val="none"/>
        </w:rPr>
      </w:pPr>
      <w:r>
        <w:rPr>
          <w:rFonts w:hint="eastAsia" w:ascii="宋体" w:hAnsi="宋体"/>
          <w:color w:val="auto"/>
          <w:szCs w:val="21"/>
          <w:highlight w:val="none"/>
        </w:rPr>
        <w:t xml:space="preserve">投标人（全称并加盖公章）：  </w:t>
      </w:r>
      <w:r>
        <w:rPr>
          <w:rFonts w:hint="eastAsia" w:ascii="宋体" w:hAnsi="宋体"/>
          <w:color w:val="auto"/>
          <w:szCs w:val="21"/>
          <w:highlight w:val="none"/>
          <w:u w:val="single"/>
        </w:rPr>
        <w:t xml:space="preserve">                  </w:t>
      </w:r>
    </w:p>
    <w:p>
      <w:pPr>
        <w:spacing w:line="380" w:lineRule="exact"/>
        <w:jc w:val="center"/>
        <w:rPr>
          <w:rFonts w:hint="eastAsia" w:ascii="宋体" w:hAnsi="宋体"/>
          <w:b/>
          <w:color w:val="auto"/>
          <w:sz w:val="32"/>
          <w:szCs w:val="32"/>
          <w:highlight w:val="none"/>
        </w:rPr>
      </w:pPr>
      <w:r>
        <w:rPr>
          <w:rFonts w:hint="eastAsia" w:ascii="宋体" w:hAnsi="宋体"/>
          <w:color w:val="auto"/>
          <w:szCs w:val="21"/>
          <w:highlight w:val="none"/>
        </w:rPr>
        <w:t xml:space="preserve">          投标人代表签字：  </w:t>
      </w:r>
      <w:r>
        <w:rPr>
          <w:rFonts w:hint="eastAsia" w:ascii="宋体" w:hAnsi="宋体"/>
          <w:color w:val="auto"/>
          <w:szCs w:val="21"/>
          <w:highlight w:val="none"/>
          <w:u w:val="single"/>
        </w:rPr>
        <w:t xml:space="preserve">                         </w:t>
      </w:r>
    </w:p>
    <w:p>
      <w:pPr>
        <w:spacing w:line="380" w:lineRule="exact"/>
        <w:rPr>
          <w:rFonts w:hint="eastAsia" w:ascii="宋体" w:hAnsi="宋体"/>
          <w:color w:val="auto"/>
          <w:sz w:val="36"/>
          <w:szCs w:val="36"/>
          <w:highlight w:val="none"/>
        </w:rPr>
      </w:pPr>
      <w:r>
        <w:rPr>
          <w:rFonts w:hint="eastAsia" w:ascii="宋体" w:hAnsi="宋体"/>
          <w:color w:val="auto"/>
          <w:szCs w:val="21"/>
          <w:highlight w:val="none"/>
        </w:rPr>
        <w:t>附件6、</w:t>
      </w:r>
    </w:p>
    <w:p>
      <w:pPr>
        <w:spacing w:before="312" w:beforeLines="100" w:line="380" w:lineRule="exact"/>
        <w:jc w:val="center"/>
        <w:rPr>
          <w:rFonts w:hint="eastAsia" w:ascii="宋体" w:hAnsi="宋体" w:eastAsia="宋体"/>
          <w:color w:val="auto"/>
          <w:sz w:val="32"/>
          <w:szCs w:val="32"/>
          <w:highlight w:val="none"/>
          <w:lang w:eastAsia="zh-CN"/>
        </w:rPr>
      </w:pPr>
      <w:r>
        <w:rPr>
          <w:rFonts w:hint="eastAsia" w:ascii="宋体" w:hAnsi="宋体"/>
          <w:b/>
          <w:color w:val="auto"/>
          <w:sz w:val="32"/>
          <w:szCs w:val="32"/>
          <w:highlight w:val="none"/>
        </w:rPr>
        <w:t>投标人的</w:t>
      </w:r>
      <w:r>
        <w:rPr>
          <w:rFonts w:hint="eastAsia" w:ascii="宋体" w:hAnsi="宋体"/>
          <w:b/>
          <w:color w:val="auto"/>
          <w:sz w:val="32"/>
          <w:szCs w:val="32"/>
          <w:highlight w:val="none"/>
          <w:lang w:eastAsia="zh-CN"/>
        </w:rPr>
        <w:t>资格及资信证明文件</w:t>
      </w:r>
    </w:p>
    <w:p>
      <w:pPr>
        <w:pStyle w:val="22"/>
        <w:outlineLvl w:val="9"/>
        <w:rPr>
          <w:rFonts w:hAnsi="宋体"/>
          <w:color w:val="auto"/>
          <w:sz w:val="32"/>
          <w:szCs w:val="32"/>
          <w:highlight w:val="none"/>
        </w:rPr>
      </w:pPr>
    </w:p>
    <w:p>
      <w:pPr>
        <w:spacing w:line="380" w:lineRule="exact"/>
        <w:jc w:val="center"/>
        <w:rPr>
          <w:rFonts w:hint="eastAsia" w:ascii="宋体" w:hAnsi="宋体"/>
          <w:b/>
          <w:color w:val="auto"/>
          <w:sz w:val="30"/>
          <w:szCs w:val="30"/>
          <w:highlight w:val="none"/>
        </w:rPr>
      </w:pPr>
      <w:r>
        <w:rPr>
          <w:rFonts w:hint="eastAsia" w:ascii="宋体" w:hAnsi="宋体"/>
          <w:b/>
          <w:color w:val="auto"/>
          <w:sz w:val="30"/>
          <w:szCs w:val="30"/>
          <w:highlight w:val="none"/>
        </w:rPr>
        <w:t>6-1、关于资格的声明函</w:t>
      </w:r>
    </w:p>
    <w:p>
      <w:pPr>
        <w:spacing w:line="380" w:lineRule="exact"/>
        <w:rPr>
          <w:rFonts w:hint="eastAsia" w:ascii="宋体" w:hAnsi="宋体"/>
          <w:color w:val="auto"/>
          <w:sz w:val="36"/>
          <w:highlight w:val="none"/>
        </w:rPr>
      </w:pPr>
    </w:p>
    <w:p>
      <w:pPr>
        <w:spacing w:line="380" w:lineRule="exact"/>
        <w:rPr>
          <w:rFonts w:hint="eastAsia" w:ascii="宋体" w:hAnsi="宋体" w:eastAsia="宋体"/>
          <w:color w:val="auto"/>
          <w:sz w:val="24"/>
          <w:highlight w:val="none"/>
          <w:lang w:eastAsia="zh-CN"/>
        </w:rPr>
      </w:pPr>
    </w:p>
    <w:p>
      <w:pPr>
        <w:pStyle w:val="3"/>
        <w:rPr>
          <w:rFonts w:hint="eastAsia"/>
          <w:color w:val="auto"/>
          <w:highlight w:val="none"/>
          <w:lang w:eastAsia="zh-CN"/>
        </w:rPr>
      </w:pPr>
    </w:p>
    <w:p>
      <w:pPr>
        <w:spacing w:line="380" w:lineRule="exact"/>
        <w:rPr>
          <w:rFonts w:hint="eastAsia" w:ascii="宋体" w:hAnsi="宋体"/>
          <w:color w:val="auto"/>
          <w:szCs w:val="21"/>
          <w:highlight w:val="none"/>
        </w:rPr>
      </w:pPr>
      <w:r>
        <w:rPr>
          <w:rFonts w:hint="eastAsia" w:ascii="宋体" w:hAnsi="宋体"/>
          <w:color w:val="auto"/>
          <w:szCs w:val="21"/>
          <w:highlight w:val="none"/>
          <w:u w:val="single"/>
          <w:lang w:eastAsia="zh-CN"/>
        </w:rPr>
        <w:t>福建吉瑞招标代理有限公司</w:t>
      </w:r>
      <w:r>
        <w:rPr>
          <w:rFonts w:hint="eastAsia" w:ascii="宋体" w:hAnsi="宋体"/>
          <w:color w:val="auto"/>
          <w:szCs w:val="21"/>
          <w:highlight w:val="none"/>
        </w:rPr>
        <w:t>：</w:t>
      </w:r>
    </w:p>
    <w:p>
      <w:pPr>
        <w:spacing w:line="380" w:lineRule="exact"/>
        <w:rPr>
          <w:rFonts w:hint="eastAsia" w:ascii="宋体" w:hAnsi="宋体"/>
          <w:color w:val="auto"/>
          <w:szCs w:val="21"/>
          <w:highlight w:val="none"/>
        </w:rPr>
      </w:pPr>
    </w:p>
    <w:p>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关于贵方</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日第</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（项目编号）投标邀请，本签字人愿意参加投标，提供招标文件“招标内容及要求”中规定的</w:t>
      </w:r>
      <w:r>
        <w:rPr>
          <w:rFonts w:hint="eastAsia" w:ascii="宋体" w:hAnsi="宋体"/>
          <w:color w:val="auto"/>
          <w:szCs w:val="21"/>
          <w:highlight w:val="none"/>
          <w:u w:val="single"/>
        </w:rPr>
        <w:t xml:space="preserve">          </w:t>
      </w:r>
      <w:r>
        <w:rPr>
          <w:rFonts w:hint="eastAsia" w:ascii="宋体" w:hAnsi="宋体"/>
          <w:color w:val="auto"/>
          <w:szCs w:val="21"/>
          <w:highlight w:val="none"/>
        </w:rPr>
        <w:t>（合同包）</w:t>
      </w:r>
      <w:r>
        <w:rPr>
          <w:rFonts w:hint="eastAsia" w:ascii="宋体" w:hAnsi="宋体"/>
          <w:color w:val="auto"/>
          <w:szCs w:val="21"/>
          <w:highlight w:val="none"/>
          <w:u w:val="single"/>
        </w:rPr>
        <w:t xml:space="preserve">         </w:t>
      </w:r>
      <w:r>
        <w:rPr>
          <w:rFonts w:hint="eastAsia" w:ascii="宋体" w:hAnsi="宋体"/>
          <w:color w:val="auto"/>
          <w:szCs w:val="21"/>
          <w:highlight w:val="none"/>
        </w:rPr>
        <w:t>（货物或服务名称），本签字人确认资格文件中的说明以及投标文件中所有提交的文件和材料是真实的、准确的。</w:t>
      </w:r>
    </w:p>
    <w:p>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w:t>
      </w:r>
    </w:p>
    <w:p>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w:t>
      </w:r>
    </w:p>
    <w:p>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w:t>
      </w:r>
    </w:p>
    <w:p>
      <w:pPr>
        <w:spacing w:line="380" w:lineRule="exact"/>
        <w:rPr>
          <w:rFonts w:hint="eastAsia" w:ascii="宋体" w:hAnsi="宋体"/>
          <w:color w:val="auto"/>
          <w:szCs w:val="21"/>
          <w:highlight w:val="none"/>
        </w:rPr>
      </w:pPr>
    </w:p>
    <w:p>
      <w:pPr>
        <w:spacing w:line="380" w:lineRule="exact"/>
        <w:rPr>
          <w:rFonts w:hint="eastAsia" w:ascii="宋体" w:hAnsi="宋体"/>
          <w:color w:val="auto"/>
          <w:szCs w:val="21"/>
          <w:highlight w:val="none"/>
        </w:rPr>
      </w:pPr>
    </w:p>
    <w:p>
      <w:pPr>
        <w:spacing w:line="380" w:lineRule="exact"/>
        <w:rPr>
          <w:rFonts w:hint="eastAsia" w:ascii="宋体" w:hAnsi="宋体"/>
          <w:color w:val="auto"/>
          <w:szCs w:val="21"/>
          <w:highlight w:val="none"/>
        </w:rPr>
      </w:pPr>
    </w:p>
    <w:p>
      <w:pPr>
        <w:spacing w:line="380" w:lineRule="exact"/>
        <w:rPr>
          <w:rFonts w:hint="eastAsia" w:ascii="宋体" w:hAnsi="宋体"/>
          <w:color w:val="auto"/>
          <w:szCs w:val="21"/>
          <w:highlight w:val="none"/>
        </w:rPr>
      </w:pPr>
    </w:p>
    <w:p>
      <w:pPr>
        <w:spacing w:line="380" w:lineRule="exact"/>
        <w:rPr>
          <w:rFonts w:hint="eastAsia" w:ascii="宋体" w:hAnsi="宋体"/>
          <w:color w:val="auto"/>
          <w:szCs w:val="21"/>
          <w:highlight w:val="none"/>
        </w:rPr>
      </w:pPr>
    </w:p>
    <w:p>
      <w:pPr>
        <w:spacing w:line="500" w:lineRule="exact"/>
        <w:rPr>
          <w:rFonts w:hint="eastAsia" w:ascii="宋体" w:hAnsi="宋体"/>
          <w:color w:val="auto"/>
          <w:szCs w:val="21"/>
          <w:highlight w:val="none"/>
        </w:rPr>
      </w:pPr>
      <w:r>
        <w:rPr>
          <w:rFonts w:hint="eastAsia" w:ascii="宋体" w:hAnsi="宋体"/>
          <w:color w:val="auto"/>
          <w:szCs w:val="21"/>
          <w:highlight w:val="none"/>
        </w:rPr>
        <w:t>投标人（全称并加盖公章）：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500" w:lineRule="exact"/>
        <w:rPr>
          <w:rFonts w:hint="eastAsia" w:ascii="宋体" w:hAnsi="宋体"/>
          <w:color w:val="auto"/>
          <w:szCs w:val="21"/>
          <w:highlight w:val="none"/>
          <w:u w:val="single"/>
        </w:rPr>
      </w:pPr>
      <w:r>
        <w:rPr>
          <w:rFonts w:hint="eastAsia" w:ascii="宋体" w:hAnsi="宋体"/>
          <w:color w:val="auto"/>
          <w:szCs w:val="21"/>
          <w:highlight w:val="none"/>
        </w:rPr>
        <w:t xml:space="preserve">投标人代表签字： </w:t>
      </w:r>
      <w:r>
        <w:rPr>
          <w:rFonts w:hint="eastAsia" w:ascii="宋体" w:hAnsi="宋体"/>
          <w:color w:val="auto"/>
          <w:szCs w:val="21"/>
          <w:highlight w:val="none"/>
          <w:u w:val="single"/>
        </w:rPr>
        <w:t xml:space="preserve">                           </w:t>
      </w:r>
    </w:p>
    <w:p>
      <w:pPr>
        <w:spacing w:line="500" w:lineRule="exact"/>
        <w:rPr>
          <w:rFonts w:hint="eastAsia" w:ascii="宋体" w:hAnsi="宋体"/>
          <w:color w:val="auto"/>
          <w:highlight w:val="none"/>
        </w:rPr>
        <w:sectPr>
          <w:pgSz w:w="11907" w:h="16840"/>
          <w:pgMar w:top="1440" w:right="1752" w:bottom="1440" w:left="1752" w:header="851" w:footer="992" w:gutter="0"/>
          <w:pgNumType w:fmt="decimal"/>
          <w:cols w:space="720" w:num="1"/>
          <w:docGrid w:linePitch="323" w:charSpace="-2"/>
        </w:sectPr>
      </w:pPr>
      <w:r>
        <w:rPr>
          <w:rFonts w:hint="eastAsia" w:ascii="宋体" w:hAnsi="宋体"/>
          <w:color w:val="auto"/>
          <w:szCs w:val="21"/>
          <w:highlight w:val="none"/>
        </w:rPr>
        <w:t>日          期</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z w:val="24"/>
          <w:highlight w:val="none"/>
        </w:rPr>
        <w:t xml:space="preserve">                       </w:t>
      </w:r>
    </w:p>
    <w:p>
      <w:pPr>
        <w:spacing w:line="38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6-2、投标人的资格声明</w:t>
      </w:r>
    </w:p>
    <w:p>
      <w:pPr>
        <w:spacing w:line="320" w:lineRule="exact"/>
        <w:rPr>
          <w:rFonts w:hint="eastAsia" w:ascii="宋体" w:hAnsi="宋体" w:eastAsia="宋体"/>
          <w:color w:val="auto"/>
          <w:szCs w:val="21"/>
          <w:highlight w:val="none"/>
          <w:lang w:eastAsia="zh-CN"/>
        </w:rPr>
      </w:pPr>
    </w:p>
    <w:p>
      <w:pPr>
        <w:spacing w:line="320" w:lineRule="exact"/>
        <w:rPr>
          <w:rFonts w:hint="eastAsia" w:ascii="宋体" w:hAnsi="宋体"/>
          <w:color w:val="auto"/>
          <w:szCs w:val="21"/>
          <w:highlight w:val="none"/>
          <w:u w:val="single"/>
        </w:rPr>
      </w:pPr>
      <w:r>
        <w:rPr>
          <w:rFonts w:hint="eastAsia" w:ascii="宋体" w:hAnsi="宋体"/>
          <w:color w:val="auto"/>
          <w:szCs w:val="21"/>
          <w:highlight w:val="none"/>
        </w:rPr>
        <w:t>1.投标人概况：</w:t>
      </w:r>
      <w:r>
        <w:rPr>
          <w:rFonts w:hint="eastAsia" w:ascii="宋体" w:hAnsi="宋体"/>
          <w:color w:val="auto"/>
          <w:szCs w:val="21"/>
          <w:highlight w:val="none"/>
        </w:rPr>
        <w:cr/>
      </w:r>
      <w:r>
        <w:rPr>
          <w:rFonts w:hint="eastAsia" w:ascii="宋体" w:hAnsi="宋体"/>
          <w:color w:val="auto"/>
          <w:szCs w:val="21"/>
          <w:highlight w:val="none"/>
        </w:rPr>
        <w:t xml:space="preserve">        Ａ．投标人名称：</w:t>
      </w:r>
      <w:r>
        <w:rPr>
          <w:rFonts w:hint="eastAsia" w:ascii="宋体" w:hAnsi="宋体"/>
          <w:color w:val="auto"/>
          <w:szCs w:val="21"/>
          <w:highlight w:val="none"/>
          <w:u w:val="single"/>
        </w:rPr>
        <w:t xml:space="preserve">                               </w:t>
      </w:r>
      <w:r>
        <w:rPr>
          <w:rFonts w:hint="eastAsia" w:ascii="宋体" w:hAnsi="宋体"/>
          <w:color w:val="auto"/>
          <w:szCs w:val="21"/>
          <w:highlight w:val="none"/>
          <w:u w:val="single"/>
        </w:rPr>
        <w:cr/>
      </w:r>
      <w:r>
        <w:rPr>
          <w:rFonts w:hint="eastAsia" w:ascii="宋体" w:hAnsi="宋体"/>
          <w:color w:val="auto"/>
          <w:szCs w:val="21"/>
          <w:highlight w:val="none"/>
        </w:rPr>
        <w:t xml:space="preserve">        Ｂ．注册地址：</w:t>
      </w:r>
      <w:r>
        <w:rPr>
          <w:rFonts w:hint="eastAsia" w:ascii="宋体" w:hAnsi="宋体"/>
          <w:color w:val="auto"/>
          <w:szCs w:val="21"/>
          <w:highlight w:val="none"/>
          <w:u w:val="single"/>
        </w:rPr>
        <w:t xml:space="preserve">                                 </w:t>
      </w:r>
      <w:r>
        <w:rPr>
          <w:rFonts w:hint="eastAsia" w:ascii="宋体" w:hAnsi="宋体"/>
          <w:color w:val="auto"/>
          <w:szCs w:val="21"/>
          <w:highlight w:val="none"/>
          <w:u w:val="single"/>
        </w:rPr>
        <w:cr/>
      </w:r>
      <w:r>
        <w:rPr>
          <w:rFonts w:hint="eastAsia" w:ascii="宋体" w:hAnsi="宋体"/>
          <w:color w:val="auto"/>
          <w:szCs w:val="21"/>
          <w:highlight w:val="none"/>
        </w:rPr>
        <w:t xml:space="preserve">            传真：</w:t>
      </w:r>
      <w:r>
        <w:rPr>
          <w:rFonts w:hint="eastAsia" w:ascii="宋体" w:hAnsi="宋体"/>
          <w:color w:val="auto"/>
          <w:szCs w:val="21"/>
          <w:highlight w:val="none"/>
          <w:u w:val="single"/>
        </w:rPr>
        <w:t xml:space="preserve">           </w:t>
      </w:r>
      <w:r>
        <w:rPr>
          <w:rFonts w:hint="eastAsia" w:ascii="宋体" w:hAnsi="宋体"/>
          <w:color w:val="auto"/>
          <w:szCs w:val="21"/>
          <w:highlight w:val="none"/>
        </w:rPr>
        <w:t>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邮编：</w:t>
      </w:r>
      <w:r>
        <w:rPr>
          <w:rFonts w:hint="eastAsia" w:ascii="宋体" w:hAnsi="宋体"/>
          <w:color w:val="auto"/>
          <w:szCs w:val="21"/>
          <w:highlight w:val="none"/>
          <w:u w:val="single"/>
        </w:rPr>
        <w:t xml:space="preserve">         </w:t>
      </w:r>
      <w:r>
        <w:rPr>
          <w:rFonts w:hint="eastAsia" w:ascii="宋体" w:hAnsi="宋体"/>
          <w:color w:val="auto"/>
          <w:szCs w:val="21"/>
          <w:highlight w:val="none"/>
        </w:rPr>
        <w:cr/>
      </w:r>
      <w:r>
        <w:rPr>
          <w:rFonts w:hint="eastAsia" w:ascii="宋体" w:hAnsi="宋体"/>
          <w:color w:val="auto"/>
          <w:szCs w:val="21"/>
          <w:highlight w:val="none"/>
        </w:rPr>
        <w:t xml:space="preserve">        Ｃ．成立或注册日期：</w:t>
      </w:r>
      <w:r>
        <w:rPr>
          <w:rFonts w:hint="eastAsia" w:ascii="宋体" w:hAnsi="宋体"/>
          <w:color w:val="auto"/>
          <w:szCs w:val="21"/>
          <w:highlight w:val="none"/>
          <w:u w:val="single"/>
        </w:rPr>
        <w:t xml:space="preserve">                      </w:t>
      </w:r>
    </w:p>
    <w:p>
      <w:pPr>
        <w:spacing w:line="320" w:lineRule="exact"/>
        <w:rPr>
          <w:rFonts w:hint="eastAsia" w:ascii="宋体" w:hAnsi="宋体"/>
          <w:color w:val="auto"/>
          <w:szCs w:val="21"/>
          <w:highlight w:val="none"/>
        </w:rPr>
      </w:pPr>
      <w:r>
        <w:rPr>
          <w:rFonts w:hint="eastAsia" w:ascii="宋体" w:hAnsi="宋体"/>
          <w:color w:val="auto"/>
          <w:szCs w:val="21"/>
          <w:highlight w:val="none"/>
        </w:rPr>
        <w:t xml:space="preserve">        Ｄ．法人代表：</w:t>
      </w:r>
      <w:r>
        <w:rPr>
          <w:rFonts w:hint="eastAsia" w:ascii="宋体" w:hAnsi="宋体"/>
          <w:color w:val="auto"/>
          <w:szCs w:val="21"/>
          <w:highlight w:val="none"/>
          <w:u w:val="single"/>
        </w:rPr>
        <w:t xml:space="preserve">                   </w:t>
      </w:r>
      <w:r>
        <w:rPr>
          <w:rFonts w:hint="eastAsia" w:ascii="宋体" w:hAnsi="宋体"/>
          <w:color w:val="auto"/>
          <w:szCs w:val="21"/>
          <w:highlight w:val="none"/>
        </w:rPr>
        <w:t>（姓名、职务）</w:t>
      </w:r>
    </w:p>
    <w:p>
      <w:pPr>
        <w:spacing w:line="320" w:lineRule="exact"/>
        <w:rPr>
          <w:rFonts w:hint="eastAsia" w:ascii="宋体" w:hAnsi="宋体"/>
          <w:color w:val="auto"/>
          <w:szCs w:val="21"/>
          <w:highlight w:val="none"/>
          <w:u w:val="single"/>
        </w:rPr>
      </w:pPr>
      <w:r>
        <w:rPr>
          <w:rFonts w:hint="eastAsia" w:ascii="宋体" w:hAnsi="宋体"/>
          <w:color w:val="auto"/>
          <w:szCs w:val="21"/>
          <w:highlight w:val="none"/>
        </w:rPr>
        <w:t xml:space="preserve">        实收资本：</w:t>
      </w:r>
      <w:r>
        <w:rPr>
          <w:rFonts w:hint="eastAsia" w:ascii="宋体" w:hAnsi="宋体"/>
          <w:color w:val="auto"/>
          <w:szCs w:val="21"/>
          <w:highlight w:val="none"/>
          <w:u w:val="single"/>
        </w:rPr>
        <w:t xml:space="preserve">                    </w:t>
      </w:r>
    </w:p>
    <w:p>
      <w:pPr>
        <w:spacing w:line="320" w:lineRule="exact"/>
        <w:rPr>
          <w:rFonts w:hint="eastAsia" w:ascii="宋体" w:hAnsi="宋体"/>
          <w:color w:val="auto"/>
          <w:szCs w:val="21"/>
          <w:highlight w:val="none"/>
        </w:rPr>
      </w:pPr>
      <w:r>
        <w:rPr>
          <w:rFonts w:hint="eastAsia" w:ascii="宋体" w:hAnsi="宋体"/>
          <w:color w:val="auto"/>
          <w:szCs w:val="21"/>
          <w:highlight w:val="none"/>
        </w:rPr>
        <w:t xml:space="preserve">        其中 国家资本：</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法人资本：</w:t>
      </w:r>
      <w:r>
        <w:rPr>
          <w:rFonts w:hint="eastAsia" w:ascii="宋体" w:hAnsi="宋体"/>
          <w:color w:val="auto"/>
          <w:szCs w:val="21"/>
          <w:highlight w:val="none"/>
          <w:u w:val="single"/>
        </w:rPr>
        <w:t xml:space="preserve">           </w:t>
      </w:r>
    </w:p>
    <w:p>
      <w:pPr>
        <w:spacing w:line="320" w:lineRule="exact"/>
        <w:rPr>
          <w:rFonts w:hint="eastAsia" w:ascii="宋体" w:hAnsi="宋体"/>
          <w:color w:val="auto"/>
          <w:szCs w:val="21"/>
          <w:highlight w:val="none"/>
        </w:rPr>
      </w:pPr>
      <w:r>
        <w:rPr>
          <w:rFonts w:hint="eastAsia" w:ascii="宋体" w:hAnsi="宋体"/>
          <w:color w:val="auto"/>
          <w:szCs w:val="21"/>
          <w:highlight w:val="none"/>
        </w:rPr>
        <w:t xml:space="preserve">             个人资本：</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外商资本：</w:t>
      </w:r>
      <w:r>
        <w:rPr>
          <w:rFonts w:hint="eastAsia" w:ascii="宋体" w:hAnsi="宋体"/>
          <w:color w:val="auto"/>
          <w:szCs w:val="21"/>
          <w:highlight w:val="none"/>
          <w:u w:val="single"/>
        </w:rPr>
        <w:t xml:space="preserve">           </w:t>
      </w:r>
    </w:p>
    <w:p>
      <w:pPr>
        <w:spacing w:line="320" w:lineRule="exact"/>
        <w:rPr>
          <w:rFonts w:hint="eastAsia" w:ascii="宋体" w:hAnsi="宋体"/>
          <w:color w:val="auto"/>
          <w:szCs w:val="21"/>
          <w:highlight w:val="none"/>
        </w:rPr>
      </w:pPr>
      <w:r>
        <w:rPr>
          <w:rFonts w:hint="eastAsia" w:ascii="宋体" w:hAnsi="宋体"/>
          <w:color w:val="auto"/>
          <w:szCs w:val="21"/>
          <w:highlight w:val="none"/>
        </w:rPr>
        <w:t xml:space="preserve">        Ｅ．最近资产负债表（到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月 </w:t>
      </w:r>
      <w:r>
        <w:rPr>
          <w:rFonts w:hint="eastAsia" w:ascii="宋体" w:hAnsi="宋体"/>
          <w:color w:val="auto"/>
          <w:szCs w:val="21"/>
          <w:highlight w:val="none"/>
          <w:u w:val="single"/>
        </w:rPr>
        <w:t xml:space="preserve">     </w:t>
      </w:r>
      <w:r>
        <w:rPr>
          <w:rFonts w:hint="eastAsia" w:ascii="宋体" w:hAnsi="宋体"/>
          <w:color w:val="auto"/>
          <w:szCs w:val="21"/>
          <w:highlight w:val="none"/>
        </w:rPr>
        <w:t>日为止）。</w:t>
      </w:r>
    </w:p>
    <w:p>
      <w:pPr>
        <w:spacing w:line="320" w:lineRule="exact"/>
        <w:rPr>
          <w:rFonts w:hint="eastAsia" w:ascii="宋体" w:hAnsi="宋体"/>
          <w:color w:val="auto"/>
          <w:szCs w:val="21"/>
          <w:highlight w:val="none"/>
          <w:u w:val="single"/>
        </w:rPr>
      </w:pPr>
      <w:r>
        <w:rPr>
          <w:rFonts w:hint="eastAsia" w:ascii="宋体" w:hAnsi="宋体"/>
          <w:color w:val="auto"/>
          <w:szCs w:val="21"/>
          <w:highlight w:val="none"/>
        </w:rPr>
        <w:t xml:space="preserve">        (1)固定资产合计:</w:t>
      </w:r>
      <w:r>
        <w:rPr>
          <w:rFonts w:hint="eastAsia" w:ascii="宋体" w:hAnsi="宋体"/>
          <w:color w:val="auto"/>
          <w:szCs w:val="21"/>
          <w:highlight w:val="none"/>
          <w:u w:val="single"/>
        </w:rPr>
        <w:t xml:space="preserve">                   </w:t>
      </w:r>
    </w:p>
    <w:p>
      <w:pPr>
        <w:spacing w:line="320" w:lineRule="exact"/>
        <w:rPr>
          <w:rFonts w:hint="eastAsia" w:ascii="宋体" w:hAnsi="宋体"/>
          <w:color w:val="auto"/>
          <w:szCs w:val="21"/>
          <w:highlight w:val="none"/>
        </w:rPr>
      </w:pPr>
      <w:r>
        <w:rPr>
          <w:rFonts w:hint="eastAsia" w:ascii="宋体" w:hAnsi="宋体"/>
          <w:color w:val="auto"/>
          <w:szCs w:val="21"/>
          <w:highlight w:val="none"/>
        </w:rPr>
        <w:t xml:space="preserve">        (2)流动资产合计:</w:t>
      </w:r>
      <w:r>
        <w:rPr>
          <w:rFonts w:hint="eastAsia" w:ascii="宋体" w:hAnsi="宋体"/>
          <w:color w:val="auto"/>
          <w:szCs w:val="21"/>
          <w:highlight w:val="none"/>
          <w:u w:val="single"/>
        </w:rPr>
        <w:t xml:space="preserve">                   </w:t>
      </w:r>
    </w:p>
    <w:p>
      <w:pPr>
        <w:spacing w:line="320" w:lineRule="exact"/>
        <w:rPr>
          <w:rFonts w:hint="eastAsia" w:ascii="宋体" w:hAnsi="宋体"/>
          <w:color w:val="auto"/>
          <w:szCs w:val="21"/>
          <w:highlight w:val="none"/>
        </w:rPr>
      </w:pPr>
      <w:r>
        <w:rPr>
          <w:rFonts w:hint="eastAsia" w:ascii="宋体" w:hAnsi="宋体"/>
          <w:color w:val="auto"/>
          <w:szCs w:val="21"/>
          <w:highlight w:val="none"/>
        </w:rPr>
        <w:t xml:space="preserve">        (3)长期负债合计:</w:t>
      </w:r>
      <w:r>
        <w:rPr>
          <w:rFonts w:hint="eastAsia" w:ascii="宋体" w:hAnsi="宋体"/>
          <w:color w:val="auto"/>
          <w:szCs w:val="21"/>
          <w:highlight w:val="none"/>
          <w:u w:val="single"/>
        </w:rPr>
        <w:t xml:space="preserve">                   </w:t>
      </w:r>
    </w:p>
    <w:p>
      <w:pPr>
        <w:spacing w:line="320" w:lineRule="exact"/>
        <w:rPr>
          <w:rFonts w:hint="eastAsia" w:ascii="宋体" w:hAnsi="宋体"/>
          <w:color w:val="auto"/>
          <w:szCs w:val="21"/>
          <w:highlight w:val="none"/>
        </w:rPr>
      </w:pPr>
      <w:r>
        <w:rPr>
          <w:rFonts w:hint="eastAsia" w:ascii="宋体" w:hAnsi="宋体"/>
          <w:color w:val="auto"/>
          <w:szCs w:val="21"/>
          <w:highlight w:val="none"/>
        </w:rPr>
        <w:t xml:space="preserve">        (4)流动负债合计:</w:t>
      </w:r>
      <w:r>
        <w:rPr>
          <w:rFonts w:hint="eastAsia" w:ascii="宋体" w:hAnsi="宋体"/>
          <w:color w:val="auto"/>
          <w:szCs w:val="21"/>
          <w:highlight w:val="none"/>
          <w:u w:val="single"/>
        </w:rPr>
        <w:t xml:space="preserve">                   </w:t>
      </w:r>
    </w:p>
    <w:p>
      <w:pPr>
        <w:spacing w:line="320" w:lineRule="exact"/>
        <w:rPr>
          <w:rFonts w:hint="eastAsia" w:ascii="宋体" w:hAnsi="宋体"/>
          <w:color w:val="auto"/>
          <w:szCs w:val="21"/>
          <w:highlight w:val="none"/>
        </w:rPr>
      </w:pPr>
      <w:r>
        <w:rPr>
          <w:rFonts w:hint="eastAsia" w:ascii="宋体" w:hAnsi="宋体"/>
          <w:color w:val="auto"/>
          <w:szCs w:val="21"/>
          <w:highlight w:val="none"/>
        </w:rPr>
        <w:t xml:space="preserve">        Ｆ．最近损益表（到</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日为止）。</w:t>
      </w:r>
    </w:p>
    <w:p>
      <w:pPr>
        <w:spacing w:line="320" w:lineRule="exact"/>
        <w:ind w:firstLine="735" w:firstLineChars="350"/>
        <w:rPr>
          <w:rFonts w:hint="eastAsia" w:ascii="宋体" w:hAnsi="宋体"/>
          <w:color w:val="auto"/>
          <w:szCs w:val="21"/>
          <w:highlight w:val="none"/>
          <w:u w:val="single"/>
        </w:rPr>
      </w:pPr>
      <w:r>
        <w:rPr>
          <w:rFonts w:hint="eastAsia" w:ascii="宋体" w:hAnsi="宋体"/>
          <w:color w:val="auto"/>
          <w:szCs w:val="21"/>
          <w:highlight w:val="none"/>
        </w:rPr>
        <w:t>(1)本年（期）利润总额累计：</w:t>
      </w:r>
      <w:r>
        <w:rPr>
          <w:rFonts w:hint="eastAsia" w:ascii="宋体" w:hAnsi="宋体"/>
          <w:color w:val="auto"/>
          <w:szCs w:val="21"/>
          <w:highlight w:val="none"/>
          <w:u w:val="single"/>
        </w:rPr>
        <w:t xml:space="preserve">            </w:t>
      </w:r>
    </w:p>
    <w:p>
      <w:pPr>
        <w:spacing w:line="320" w:lineRule="exact"/>
        <w:ind w:firstLine="735" w:firstLineChars="350"/>
        <w:rPr>
          <w:rFonts w:hint="eastAsia" w:ascii="宋体" w:hAnsi="宋体"/>
          <w:color w:val="auto"/>
          <w:szCs w:val="21"/>
          <w:highlight w:val="none"/>
        </w:rPr>
      </w:pPr>
      <w:r>
        <w:rPr>
          <w:rFonts w:hint="eastAsia" w:ascii="宋体" w:hAnsi="宋体"/>
          <w:color w:val="auto"/>
          <w:szCs w:val="21"/>
          <w:highlight w:val="none"/>
        </w:rPr>
        <w:t xml:space="preserve">(2)本年（期）净利润累计： </w:t>
      </w:r>
      <w:r>
        <w:rPr>
          <w:rFonts w:hint="eastAsia" w:ascii="宋体" w:hAnsi="宋体"/>
          <w:color w:val="auto"/>
          <w:szCs w:val="21"/>
          <w:highlight w:val="none"/>
          <w:u w:val="single"/>
        </w:rPr>
        <w:t xml:space="preserve">             </w:t>
      </w:r>
    </w:p>
    <w:p>
      <w:pPr>
        <w:spacing w:line="320" w:lineRule="exact"/>
        <w:rPr>
          <w:rFonts w:hint="eastAsia" w:ascii="宋体" w:hAnsi="宋体"/>
          <w:color w:val="auto"/>
          <w:szCs w:val="21"/>
          <w:highlight w:val="none"/>
        </w:rPr>
      </w:pPr>
      <w:r>
        <w:rPr>
          <w:rFonts w:hint="eastAsia" w:ascii="宋体" w:hAnsi="宋体"/>
          <w:color w:val="auto"/>
          <w:szCs w:val="21"/>
          <w:highlight w:val="none"/>
        </w:rPr>
        <w:t>2．我方在此声明，我方具备并满足下列各项条款的规定。本声明如有虚假或</w:t>
      </w:r>
      <w:r>
        <w:rPr>
          <w:rFonts w:hint="eastAsia" w:ascii="宋体" w:hAnsi="宋体"/>
          <w:color w:val="auto"/>
          <w:szCs w:val="21"/>
          <w:highlight w:val="none"/>
        </w:rPr>
        <w:t>不实之处</w:t>
      </w:r>
      <w:r>
        <w:rPr>
          <w:rFonts w:hint="eastAsia" w:ascii="宋体" w:hAnsi="宋体"/>
          <w:color w:val="auto"/>
          <w:szCs w:val="21"/>
          <w:highlight w:val="none"/>
        </w:rPr>
        <w:t>，我方将失去合格投标人资格且我方的投标保证金将不予退还。</w:t>
      </w:r>
    </w:p>
    <w:p>
      <w:pPr>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（1）具有独立承担民事责任的能力；</w:t>
      </w:r>
      <w:r>
        <w:rPr>
          <w:rFonts w:ascii="宋体" w:hAnsi="宋体"/>
          <w:color w:val="auto"/>
          <w:szCs w:val="21"/>
          <w:highlight w:val="none"/>
        </w:rPr>
        <w:t xml:space="preserve"> </w:t>
      </w:r>
    </w:p>
    <w:p>
      <w:pPr>
        <w:spacing w:line="320" w:lineRule="exact"/>
        <w:rPr>
          <w:rFonts w:hint="eastAsia" w:ascii="宋体" w:hAnsi="宋体"/>
          <w:color w:val="auto"/>
          <w:szCs w:val="21"/>
          <w:highlight w:val="none"/>
        </w:rPr>
      </w:pPr>
      <w:r>
        <w:rPr>
          <w:rFonts w:hint="eastAsia" w:ascii="宋体" w:hAnsi="宋体"/>
          <w:color w:val="auto"/>
          <w:szCs w:val="21"/>
          <w:highlight w:val="none"/>
        </w:rPr>
        <w:t>　　（2）具有良好的商业信誉和健全的财务会计制度；</w:t>
      </w:r>
      <w:r>
        <w:rPr>
          <w:rFonts w:ascii="宋体" w:hAnsi="宋体"/>
          <w:color w:val="auto"/>
          <w:szCs w:val="21"/>
          <w:highlight w:val="none"/>
        </w:rPr>
        <w:t xml:space="preserve"> </w:t>
      </w:r>
    </w:p>
    <w:p>
      <w:pPr>
        <w:spacing w:line="320" w:lineRule="exact"/>
        <w:rPr>
          <w:rFonts w:hint="eastAsia" w:ascii="宋体" w:hAnsi="宋体"/>
          <w:color w:val="auto"/>
          <w:szCs w:val="21"/>
          <w:highlight w:val="none"/>
        </w:rPr>
      </w:pPr>
      <w:r>
        <w:rPr>
          <w:rFonts w:hint="eastAsia" w:ascii="宋体" w:hAnsi="宋体"/>
          <w:color w:val="auto"/>
          <w:szCs w:val="21"/>
          <w:highlight w:val="none"/>
        </w:rPr>
        <w:t>　　（3）具有履行合同所必需的设备和专业技术能力；</w:t>
      </w:r>
      <w:r>
        <w:rPr>
          <w:rFonts w:ascii="宋体" w:hAnsi="宋体"/>
          <w:color w:val="auto"/>
          <w:szCs w:val="21"/>
          <w:highlight w:val="none"/>
        </w:rPr>
        <w:t xml:space="preserve"> </w:t>
      </w:r>
    </w:p>
    <w:p>
      <w:pPr>
        <w:spacing w:line="320" w:lineRule="exact"/>
        <w:rPr>
          <w:rFonts w:hint="eastAsia" w:ascii="宋体" w:hAnsi="宋体"/>
          <w:color w:val="auto"/>
          <w:szCs w:val="21"/>
          <w:highlight w:val="none"/>
        </w:rPr>
      </w:pPr>
      <w:r>
        <w:rPr>
          <w:rFonts w:hint="eastAsia" w:ascii="宋体" w:hAnsi="宋体"/>
          <w:color w:val="auto"/>
          <w:szCs w:val="21"/>
          <w:highlight w:val="none"/>
        </w:rPr>
        <w:t>　　（4）有依法缴纳税收和社会保障资金的良好记录；</w:t>
      </w:r>
      <w:r>
        <w:rPr>
          <w:rFonts w:ascii="宋体" w:hAnsi="宋体"/>
          <w:color w:val="auto"/>
          <w:szCs w:val="21"/>
          <w:highlight w:val="none"/>
        </w:rPr>
        <w:t xml:space="preserve"> </w:t>
      </w:r>
    </w:p>
    <w:p>
      <w:pPr>
        <w:spacing w:line="320" w:lineRule="exact"/>
        <w:ind w:firstLine="420"/>
        <w:rPr>
          <w:rFonts w:hint="eastAsia" w:ascii="宋体" w:hAnsi="宋体"/>
          <w:color w:val="auto"/>
          <w:szCs w:val="21"/>
          <w:highlight w:val="none"/>
        </w:rPr>
      </w:pPr>
      <w:r>
        <w:rPr>
          <w:rFonts w:hint="eastAsia" w:ascii="宋体" w:hAnsi="宋体"/>
          <w:color w:val="auto"/>
          <w:szCs w:val="21"/>
          <w:highlight w:val="none"/>
        </w:rPr>
        <w:t>（5）近三年内，在经营活动中没有重大违法记录；</w:t>
      </w:r>
    </w:p>
    <w:p>
      <w:pPr>
        <w:spacing w:line="320" w:lineRule="exact"/>
        <w:ind w:firstLine="420"/>
        <w:rPr>
          <w:rFonts w:hint="eastAsia" w:ascii="宋体" w:hAnsi="宋体"/>
          <w:color w:val="auto"/>
          <w:szCs w:val="21"/>
          <w:highlight w:val="none"/>
          <w:u w:val="single"/>
        </w:rPr>
      </w:pPr>
      <w:r>
        <w:rPr>
          <w:rFonts w:hint="eastAsia" w:ascii="宋体" w:hAnsi="宋体"/>
          <w:color w:val="auto"/>
          <w:szCs w:val="21"/>
          <w:highlight w:val="none"/>
        </w:rPr>
        <w:t>（6）我方资格及所投货物（服务）符合招标文件第二章投标人须知第3点“合格的投标人及合格的投标产品”的各项规定。</w:t>
      </w:r>
    </w:p>
    <w:p>
      <w:pPr>
        <w:spacing w:line="320" w:lineRule="exact"/>
        <w:rPr>
          <w:rFonts w:hint="eastAsia" w:ascii="宋体" w:hAnsi="宋体"/>
          <w:color w:val="auto"/>
          <w:szCs w:val="21"/>
          <w:highlight w:val="none"/>
        </w:rPr>
      </w:pPr>
      <w:r>
        <w:rPr>
          <w:rFonts w:hint="eastAsia" w:ascii="宋体" w:hAnsi="宋体"/>
          <w:color w:val="auto"/>
          <w:szCs w:val="21"/>
          <w:highlight w:val="none"/>
        </w:rPr>
        <w:t>3．最近三年投标货物、服务在国内主要用户的名称和地址：</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407" w:type="dxa"/>
            <w:noWrap w:val="0"/>
            <w:vAlign w:val="top"/>
          </w:tcPr>
          <w:p>
            <w:pPr>
              <w:spacing w:line="380" w:lineRule="exact"/>
              <w:rPr>
                <w:rFonts w:hint="eastAsia" w:ascii="宋体" w:hAnsi="宋体"/>
                <w:color w:val="auto"/>
                <w:szCs w:val="21"/>
                <w:highlight w:val="none"/>
              </w:rPr>
            </w:pPr>
            <w:r>
              <w:rPr>
                <w:rFonts w:hint="eastAsia" w:ascii="宋体" w:hAnsi="宋体"/>
                <w:color w:val="auto"/>
                <w:szCs w:val="21"/>
                <w:highlight w:val="none"/>
              </w:rPr>
              <w:t>用户名称和地址</w:t>
            </w:r>
          </w:p>
        </w:tc>
        <w:tc>
          <w:tcPr>
            <w:tcW w:w="2299" w:type="dxa"/>
            <w:noWrap w:val="0"/>
            <w:vAlign w:val="top"/>
          </w:tcPr>
          <w:p>
            <w:pPr>
              <w:spacing w:line="380" w:lineRule="exact"/>
              <w:rPr>
                <w:rFonts w:hint="eastAsia" w:ascii="宋体" w:hAnsi="宋体"/>
                <w:color w:val="auto"/>
                <w:szCs w:val="21"/>
                <w:highlight w:val="none"/>
              </w:rPr>
            </w:pPr>
            <w:r>
              <w:rPr>
                <w:rFonts w:hint="eastAsia" w:ascii="宋体" w:hAnsi="宋体"/>
                <w:color w:val="auto"/>
                <w:szCs w:val="21"/>
                <w:highlight w:val="none"/>
              </w:rPr>
              <w:t>销售货物名称、规格</w:t>
            </w:r>
          </w:p>
        </w:tc>
        <w:tc>
          <w:tcPr>
            <w:tcW w:w="1045" w:type="dxa"/>
            <w:noWrap w:val="0"/>
            <w:vAlign w:val="top"/>
          </w:tcPr>
          <w:p>
            <w:pPr>
              <w:spacing w:line="380" w:lineRule="exact"/>
              <w:rPr>
                <w:rFonts w:hint="eastAsia" w:ascii="宋体" w:hAnsi="宋体"/>
                <w:color w:val="auto"/>
                <w:szCs w:val="21"/>
                <w:highlight w:val="none"/>
              </w:rPr>
            </w:pPr>
            <w:r>
              <w:rPr>
                <w:rFonts w:hint="eastAsia" w:ascii="宋体" w:hAnsi="宋体"/>
                <w:color w:val="auto"/>
                <w:szCs w:val="21"/>
                <w:highlight w:val="none"/>
              </w:rPr>
              <w:t>数量</w:t>
            </w:r>
          </w:p>
        </w:tc>
        <w:tc>
          <w:tcPr>
            <w:tcW w:w="1463" w:type="dxa"/>
            <w:noWrap w:val="0"/>
            <w:vAlign w:val="top"/>
          </w:tcPr>
          <w:p>
            <w:pPr>
              <w:spacing w:line="380" w:lineRule="exact"/>
              <w:rPr>
                <w:rFonts w:hint="eastAsia" w:ascii="宋体" w:hAnsi="宋体"/>
                <w:color w:val="auto"/>
                <w:szCs w:val="21"/>
                <w:highlight w:val="none"/>
              </w:rPr>
            </w:pPr>
            <w:r>
              <w:rPr>
                <w:rFonts w:hint="eastAsia" w:ascii="宋体" w:hAnsi="宋体"/>
                <w:color w:val="auto"/>
                <w:szCs w:val="21"/>
                <w:highlight w:val="none"/>
              </w:rPr>
              <w:t>交货日期</w:t>
            </w:r>
          </w:p>
        </w:tc>
        <w:tc>
          <w:tcPr>
            <w:tcW w:w="1404" w:type="dxa"/>
            <w:noWrap w:val="0"/>
            <w:vAlign w:val="top"/>
          </w:tcPr>
          <w:p>
            <w:pPr>
              <w:spacing w:line="380" w:lineRule="exact"/>
              <w:rPr>
                <w:rFonts w:hint="eastAsia" w:ascii="宋体" w:hAnsi="宋体"/>
                <w:color w:val="auto"/>
                <w:szCs w:val="21"/>
                <w:highlight w:val="none"/>
              </w:rPr>
            </w:pPr>
            <w:r>
              <w:rPr>
                <w:rFonts w:hint="eastAsia" w:ascii="宋体" w:hAnsi="宋体"/>
                <w:color w:val="auto"/>
                <w:szCs w:val="21"/>
                <w:highlight w:val="none"/>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407" w:type="dxa"/>
            <w:noWrap w:val="0"/>
            <w:vAlign w:val="top"/>
          </w:tcPr>
          <w:p>
            <w:pPr>
              <w:spacing w:line="380" w:lineRule="exact"/>
              <w:rPr>
                <w:rFonts w:hint="eastAsia" w:ascii="宋体" w:hAnsi="宋体"/>
                <w:color w:val="auto"/>
                <w:szCs w:val="21"/>
                <w:highlight w:val="none"/>
              </w:rPr>
            </w:pPr>
          </w:p>
        </w:tc>
        <w:tc>
          <w:tcPr>
            <w:tcW w:w="2299" w:type="dxa"/>
            <w:noWrap w:val="0"/>
            <w:vAlign w:val="top"/>
          </w:tcPr>
          <w:p>
            <w:pPr>
              <w:spacing w:line="380" w:lineRule="exact"/>
              <w:rPr>
                <w:rFonts w:hint="eastAsia" w:ascii="宋体" w:hAnsi="宋体"/>
                <w:color w:val="auto"/>
                <w:szCs w:val="21"/>
                <w:highlight w:val="none"/>
              </w:rPr>
            </w:pPr>
          </w:p>
        </w:tc>
        <w:tc>
          <w:tcPr>
            <w:tcW w:w="1045" w:type="dxa"/>
            <w:noWrap w:val="0"/>
            <w:vAlign w:val="top"/>
          </w:tcPr>
          <w:p>
            <w:pPr>
              <w:spacing w:line="380" w:lineRule="exact"/>
              <w:rPr>
                <w:rFonts w:hint="eastAsia" w:ascii="宋体" w:hAnsi="宋体"/>
                <w:color w:val="auto"/>
                <w:szCs w:val="21"/>
                <w:highlight w:val="none"/>
              </w:rPr>
            </w:pPr>
          </w:p>
        </w:tc>
        <w:tc>
          <w:tcPr>
            <w:tcW w:w="1463" w:type="dxa"/>
            <w:noWrap w:val="0"/>
            <w:vAlign w:val="top"/>
          </w:tcPr>
          <w:p>
            <w:pPr>
              <w:spacing w:line="380" w:lineRule="exact"/>
              <w:rPr>
                <w:rFonts w:hint="eastAsia" w:ascii="宋体" w:hAnsi="宋体"/>
                <w:color w:val="auto"/>
                <w:szCs w:val="21"/>
                <w:highlight w:val="none"/>
              </w:rPr>
            </w:pPr>
          </w:p>
        </w:tc>
        <w:tc>
          <w:tcPr>
            <w:tcW w:w="1404" w:type="dxa"/>
            <w:noWrap w:val="0"/>
            <w:vAlign w:val="top"/>
          </w:tcPr>
          <w:p>
            <w:pPr>
              <w:spacing w:line="38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407" w:type="dxa"/>
            <w:noWrap w:val="0"/>
            <w:vAlign w:val="top"/>
          </w:tcPr>
          <w:p>
            <w:pPr>
              <w:spacing w:line="380" w:lineRule="exact"/>
              <w:rPr>
                <w:rFonts w:hint="eastAsia" w:ascii="宋体" w:hAnsi="宋体"/>
                <w:color w:val="auto"/>
                <w:szCs w:val="21"/>
                <w:highlight w:val="none"/>
              </w:rPr>
            </w:pPr>
          </w:p>
        </w:tc>
        <w:tc>
          <w:tcPr>
            <w:tcW w:w="2299" w:type="dxa"/>
            <w:noWrap w:val="0"/>
            <w:vAlign w:val="top"/>
          </w:tcPr>
          <w:p>
            <w:pPr>
              <w:spacing w:line="380" w:lineRule="exact"/>
              <w:rPr>
                <w:rFonts w:hint="eastAsia" w:ascii="宋体" w:hAnsi="宋体"/>
                <w:color w:val="auto"/>
                <w:szCs w:val="21"/>
                <w:highlight w:val="none"/>
              </w:rPr>
            </w:pPr>
          </w:p>
        </w:tc>
        <w:tc>
          <w:tcPr>
            <w:tcW w:w="1045" w:type="dxa"/>
            <w:noWrap w:val="0"/>
            <w:vAlign w:val="top"/>
          </w:tcPr>
          <w:p>
            <w:pPr>
              <w:spacing w:line="380" w:lineRule="exact"/>
              <w:rPr>
                <w:rFonts w:hint="eastAsia" w:ascii="宋体" w:hAnsi="宋体"/>
                <w:color w:val="auto"/>
                <w:szCs w:val="21"/>
                <w:highlight w:val="none"/>
              </w:rPr>
            </w:pPr>
          </w:p>
        </w:tc>
        <w:tc>
          <w:tcPr>
            <w:tcW w:w="1463" w:type="dxa"/>
            <w:noWrap w:val="0"/>
            <w:vAlign w:val="top"/>
          </w:tcPr>
          <w:p>
            <w:pPr>
              <w:spacing w:line="380" w:lineRule="exact"/>
              <w:rPr>
                <w:rFonts w:hint="eastAsia" w:ascii="宋体" w:hAnsi="宋体"/>
                <w:color w:val="auto"/>
                <w:szCs w:val="21"/>
                <w:highlight w:val="none"/>
              </w:rPr>
            </w:pPr>
          </w:p>
        </w:tc>
        <w:tc>
          <w:tcPr>
            <w:tcW w:w="1404" w:type="dxa"/>
            <w:noWrap w:val="0"/>
            <w:vAlign w:val="top"/>
          </w:tcPr>
          <w:p>
            <w:pPr>
              <w:spacing w:line="38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407" w:type="dxa"/>
            <w:noWrap w:val="0"/>
            <w:vAlign w:val="top"/>
          </w:tcPr>
          <w:p>
            <w:pPr>
              <w:spacing w:line="380" w:lineRule="exact"/>
              <w:rPr>
                <w:rFonts w:hint="eastAsia" w:ascii="宋体" w:hAnsi="宋体"/>
                <w:color w:val="auto"/>
                <w:szCs w:val="21"/>
                <w:highlight w:val="none"/>
              </w:rPr>
            </w:pPr>
          </w:p>
        </w:tc>
        <w:tc>
          <w:tcPr>
            <w:tcW w:w="2299" w:type="dxa"/>
            <w:noWrap w:val="0"/>
            <w:vAlign w:val="top"/>
          </w:tcPr>
          <w:p>
            <w:pPr>
              <w:spacing w:line="380" w:lineRule="exact"/>
              <w:rPr>
                <w:rFonts w:hint="eastAsia" w:ascii="宋体" w:hAnsi="宋体"/>
                <w:color w:val="auto"/>
                <w:szCs w:val="21"/>
                <w:highlight w:val="none"/>
              </w:rPr>
            </w:pPr>
          </w:p>
        </w:tc>
        <w:tc>
          <w:tcPr>
            <w:tcW w:w="1045" w:type="dxa"/>
            <w:noWrap w:val="0"/>
            <w:vAlign w:val="top"/>
          </w:tcPr>
          <w:p>
            <w:pPr>
              <w:spacing w:line="380" w:lineRule="exact"/>
              <w:rPr>
                <w:rFonts w:hint="eastAsia" w:ascii="宋体" w:hAnsi="宋体"/>
                <w:color w:val="auto"/>
                <w:szCs w:val="21"/>
                <w:highlight w:val="none"/>
              </w:rPr>
            </w:pPr>
          </w:p>
        </w:tc>
        <w:tc>
          <w:tcPr>
            <w:tcW w:w="1463" w:type="dxa"/>
            <w:noWrap w:val="0"/>
            <w:vAlign w:val="top"/>
          </w:tcPr>
          <w:p>
            <w:pPr>
              <w:spacing w:line="380" w:lineRule="exact"/>
              <w:rPr>
                <w:rFonts w:hint="eastAsia" w:ascii="宋体" w:hAnsi="宋体"/>
                <w:color w:val="auto"/>
                <w:szCs w:val="21"/>
                <w:highlight w:val="none"/>
              </w:rPr>
            </w:pPr>
          </w:p>
        </w:tc>
        <w:tc>
          <w:tcPr>
            <w:tcW w:w="1404" w:type="dxa"/>
            <w:noWrap w:val="0"/>
            <w:vAlign w:val="top"/>
          </w:tcPr>
          <w:p>
            <w:pPr>
              <w:spacing w:line="38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407" w:type="dxa"/>
            <w:noWrap w:val="0"/>
            <w:vAlign w:val="top"/>
          </w:tcPr>
          <w:p>
            <w:pPr>
              <w:spacing w:line="380" w:lineRule="exact"/>
              <w:rPr>
                <w:rFonts w:hint="eastAsia" w:ascii="宋体" w:hAnsi="宋体"/>
                <w:color w:val="auto"/>
                <w:szCs w:val="21"/>
                <w:highlight w:val="none"/>
              </w:rPr>
            </w:pPr>
          </w:p>
        </w:tc>
        <w:tc>
          <w:tcPr>
            <w:tcW w:w="2299" w:type="dxa"/>
            <w:noWrap w:val="0"/>
            <w:vAlign w:val="top"/>
          </w:tcPr>
          <w:p>
            <w:pPr>
              <w:spacing w:line="380" w:lineRule="exact"/>
              <w:rPr>
                <w:rFonts w:hint="eastAsia" w:ascii="宋体" w:hAnsi="宋体"/>
                <w:color w:val="auto"/>
                <w:szCs w:val="21"/>
                <w:highlight w:val="none"/>
              </w:rPr>
            </w:pPr>
          </w:p>
        </w:tc>
        <w:tc>
          <w:tcPr>
            <w:tcW w:w="1045" w:type="dxa"/>
            <w:noWrap w:val="0"/>
            <w:vAlign w:val="top"/>
          </w:tcPr>
          <w:p>
            <w:pPr>
              <w:spacing w:line="380" w:lineRule="exact"/>
              <w:rPr>
                <w:rFonts w:hint="eastAsia" w:ascii="宋体" w:hAnsi="宋体"/>
                <w:color w:val="auto"/>
                <w:szCs w:val="21"/>
                <w:highlight w:val="none"/>
              </w:rPr>
            </w:pPr>
          </w:p>
        </w:tc>
        <w:tc>
          <w:tcPr>
            <w:tcW w:w="1463" w:type="dxa"/>
            <w:noWrap w:val="0"/>
            <w:vAlign w:val="top"/>
          </w:tcPr>
          <w:p>
            <w:pPr>
              <w:spacing w:line="380" w:lineRule="exact"/>
              <w:rPr>
                <w:rFonts w:hint="eastAsia" w:ascii="宋体" w:hAnsi="宋体"/>
                <w:color w:val="auto"/>
                <w:szCs w:val="21"/>
                <w:highlight w:val="none"/>
              </w:rPr>
            </w:pPr>
          </w:p>
        </w:tc>
        <w:tc>
          <w:tcPr>
            <w:tcW w:w="1404" w:type="dxa"/>
            <w:noWrap w:val="0"/>
            <w:vAlign w:val="top"/>
          </w:tcPr>
          <w:p>
            <w:pPr>
              <w:spacing w:line="380" w:lineRule="exact"/>
              <w:rPr>
                <w:rFonts w:hint="eastAsia" w:ascii="宋体" w:hAnsi="宋体"/>
                <w:color w:val="auto"/>
                <w:szCs w:val="21"/>
                <w:highlight w:val="none"/>
              </w:rPr>
            </w:pPr>
          </w:p>
        </w:tc>
      </w:tr>
    </w:tbl>
    <w:p>
      <w:pPr>
        <w:spacing w:line="320" w:lineRule="exact"/>
        <w:rPr>
          <w:rFonts w:hint="eastAsia"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 xml:space="preserve"> 法人营业执照、税务登记证、组织机构代码证</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或</w:t>
      </w:r>
      <w:r>
        <w:rPr>
          <w:rFonts w:hint="eastAsia" w:ascii="宋体" w:hAnsi="宋体"/>
          <w:color w:val="auto"/>
          <w:szCs w:val="21"/>
          <w:highlight w:val="none"/>
        </w:rPr>
        <w:t>三证合一</w:t>
      </w:r>
      <w:r>
        <w:rPr>
          <w:rFonts w:hint="eastAsia" w:ascii="宋体" w:hAnsi="宋体"/>
          <w:color w:val="auto"/>
          <w:szCs w:val="21"/>
          <w:highlight w:val="none"/>
          <w:lang w:eastAsia="zh-CN"/>
        </w:rPr>
        <w:t>）</w:t>
      </w:r>
      <w:r>
        <w:rPr>
          <w:rFonts w:hint="eastAsia" w:ascii="宋体" w:hAnsi="宋体"/>
          <w:color w:val="auto"/>
          <w:szCs w:val="21"/>
          <w:highlight w:val="none"/>
        </w:rPr>
        <w:t>见</w:t>
      </w:r>
      <w:r>
        <w:rPr>
          <w:rFonts w:hint="eastAsia" w:ascii="宋体" w:hAnsi="宋体"/>
          <w:color w:val="auto"/>
          <w:szCs w:val="21"/>
          <w:highlight w:val="none"/>
          <w:lang w:val="en-US" w:eastAsia="zh-CN"/>
        </w:rPr>
        <w:t>6-3</w:t>
      </w:r>
      <w:r>
        <w:rPr>
          <w:rFonts w:hint="eastAsia" w:ascii="宋体" w:hAnsi="宋体"/>
          <w:color w:val="auto"/>
          <w:szCs w:val="21"/>
          <w:highlight w:val="none"/>
        </w:rPr>
        <w:t>。</w:t>
      </w:r>
    </w:p>
    <w:p>
      <w:pPr>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就我方全部所知，兹证明上述声明是真实、正确的，并已提供了全部现有资料和数据，我方同意根据贵方要求出示文件予以证实。</w:t>
      </w:r>
    </w:p>
    <w:p>
      <w:pPr>
        <w:spacing w:line="320" w:lineRule="exact"/>
        <w:rPr>
          <w:rFonts w:hint="eastAsia" w:ascii="宋体" w:hAnsi="宋体"/>
          <w:color w:val="auto"/>
          <w:szCs w:val="21"/>
          <w:highlight w:val="none"/>
        </w:rPr>
      </w:pPr>
      <w:r>
        <w:rPr>
          <w:rFonts w:hint="eastAsia" w:ascii="宋体" w:hAnsi="宋体"/>
          <w:color w:val="auto"/>
          <w:szCs w:val="21"/>
          <w:highlight w:val="none"/>
        </w:rPr>
        <w:t xml:space="preserve">    投标人（全称并加盖公章）：</w:t>
      </w:r>
      <w:r>
        <w:rPr>
          <w:rFonts w:hint="eastAsia" w:ascii="宋体" w:hAnsi="宋体"/>
          <w:color w:val="auto"/>
          <w:szCs w:val="21"/>
          <w:highlight w:val="none"/>
          <w:u w:val="single"/>
        </w:rPr>
        <w:t xml:space="preserve">                   </w:t>
      </w:r>
    </w:p>
    <w:p>
      <w:pPr>
        <w:spacing w:line="320" w:lineRule="exact"/>
        <w:rPr>
          <w:rFonts w:hint="eastAsia" w:ascii="宋体" w:hAnsi="宋体"/>
          <w:color w:val="auto"/>
          <w:szCs w:val="21"/>
          <w:highlight w:val="none"/>
          <w:u w:val="single"/>
        </w:rPr>
      </w:pPr>
      <w:r>
        <w:rPr>
          <w:rFonts w:hint="eastAsia" w:ascii="宋体" w:hAnsi="宋体"/>
          <w:color w:val="auto"/>
          <w:szCs w:val="21"/>
          <w:highlight w:val="none"/>
        </w:rPr>
        <w:t xml:space="preserve">    投标人代表签字：</w:t>
      </w:r>
      <w:r>
        <w:rPr>
          <w:rFonts w:hint="eastAsia" w:ascii="宋体" w:hAnsi="宋体"/>
          <w:color w:val="auto"/>
          <w:szCs w:val="21"/>
          <w:highlight w:val="none"/>
          <w:u w:val="single"/>
        </w:rPr>
        <w:t xml:space="preserve">                            </w:t>
      </w:r>
    </w:p>
    <w:p>
      <w:pPr>
        <w:spacing w:line="320" w:lineRule="exact"/>
        <w:rPr>
          <w:rFonts w:hint="eastAsia" w:ascii="宋体" w:hAnsi="宋体"/>
          <w:color w:val="auto"/>
          <w:szCs w:val="21"/>
          <w:highlight w:val="none"/>
        </w:rPr>
      </w:pPr>
      <w:r>
        <w:rPr>
          <w:rFonts w:hint="eastAsia" w:ascii="宋体" w:hAnsi="宋体"/>
          <w:color w:val="auto"/>
          <w:szCs w:val="21"/>
          <w:highlight w:val="none"/>
        </w:rPr>
        <w:t xml:space="preserve">    日      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月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w:t>
      </w:r>
    </w:p>
    <w:p>
      <w:pPr>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传      真：</w:t>
      </w:r>
      <w:r>
        <w:rPr>
          <w:rFonts w:hint="eastAsia" w:ascii="宋体" w:hAnsi="宋体"/>
          <w:color w:val="auto"/>
          <w:szCs w:val="21"/>
          <w:highlight w:val="none"/>
          <w:u w:val="single"/>
        </w:rPr>
        <w:t xml:space="preserve">                              </w:t>
      </w:r>
    </w:p>
    <w:p>
      <w:pPr>
        <w:spacing w:line="32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电      话：</w:t>
      </w:r>
      <w:r>
        <w:rPr>
          <w:rFonts w:hint="eastAsia" w:ascii="宋体" w:hAnsi="宋体"/>
          <w:color w:val="auto"/>
          <w:szCs w:val="21"/>
          <w:highlight w:val="none"/>
          <w:u w:val="single"/>
        </w:rPr>
        <w:t xml:space="preserve">                              </w:t>
      </w:r>
    </w:p>
    <w:p>
      <w:pPr>
        <w:spacing w:before="312" w:beforeLines="100" w:line="380" w:lineRule="exact"/>
        <w:jc w:val="center"/>
        <w:rPr>
          <w:rFonts w:hint="eastAsia" w:ascii="宋体" w:hAnsi="宋体"/>
          <w:b/>
          <w:color w:val="auto"/>
          <w:sz w:val="32"/>
          <w:szCs w:val="32"/>
          <w:highlight w:val="none"/>
        </w:rPr>
      </w:pPr>
      <w:bookmarkStart w:id="21" w:name="_Toc174"/>
      <w:r>
        <w:rPr>
          <w:rFonts w:hint="eastAsia" w:ascii="宋体" w:hAnsi="宋体"/>
          <w:b/>
          <w:color w:val="auto"/>
          <w:sz w:val="32"/>
          <w:szCs w:val="32"/>
          <w:highlight w:val="none"/>
        </w:rPr>
        <w:t>6-3、法人营业执照、税务登记证、组织机构代码证</w:t>
      </w:r>
      <w:bookmarkEnd w:id="21"/>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spacing w:line="380" w:lineRule="exact"/>
        <w:rPr>
          <w:rFonts w:hint="eastAsia" w:ascii="宋体" w:hAnsi="宋体"/>
          <w:color w:val="auto"/>
          <w:szCs w:val="21"/>
          <w:highlight w:val="none"/>
        </w:rPr>
      </w:pPr>
      <w:r>
        <w:rPr>
          <w:rFonts w:hint="eastAsia" w:ascii="宋体" w:hAnsi="宋体"/>
          <w:color w:val="auto"/>
          <w:szCs w:val="21"/>
          <w:highlight w:val="none"/>
          <w:u w:val="single"/>
          <w:lang w:eastAsia="zh-CN"/>
        </w:rPr>
        <w:t>福建吉瑞招标代理有限公司</w:t>
      </w:r>
      <w:r>
        <w:rPr>
          <w:rFonts w:hint="eastAsia" w:ascii="宋体" w:hAnsi="宋体"/>
          <w:color w:val="auto"/>
          <w:szCs w:val="21"/>
          <w:highlight w:val="none"/>
        </w:rPr>
        <w:t>：</w:t>
      </w:r>
    </w:p>
    <w:p>
      <w:pPr>
        <w:spacing w:line="380" w:lineRule="exact"/>
        <w:rPr>
          <w:rFonts w:hint="eastAsia" w:ascii="宋体" w:hAnsi="宋体"/>
          <w:color w:val="auto"/>
          <w:szCs w:val="21"/>
          <w:highlight w:val="none"/>
        </w:rPr>
      </w:pPr>
    </w:p>
    <w:p>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现附上由</w:t>
      </w:r>
      <w:r>
        <w:rPr>
          <w:rFonts w:hint="eastAsia" w:ascii="宋体" w:hAnsi="宋体"/>
          <w:color w:val="auto"/>
          <w:szCs w:val="21"/>
          <w:highlight w:val="none"/>
          <w:u w:val="single"/>
        </w:rPr>
        <w:t xml:space="preserve">                         </w:t>
      </w:r>
      <w:r>
        <w:rPr>
          <w:rFonts w:hint="eastAsia" w:ascii="宋体" w:hAnsi="宋体"/>
          <w:color w:val="auto"/>
          <w:szCs w:val="21"/>
          <w:highlight w:val="none"/>
        </w:rPr>
        <w:t>（签发机关名称）签发的我方法人营业执照复印件，该证件真实有效。</w:t>
      </w:r>
    </w:p>
    <w:p>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现附上由</w:t>
      </w:r>
      <w:r>
        <w:rPr>
          <w:rFonts w:hint="eastAsia" w:ascii="宋体" w:hAnsi="宋体"/>
          <w:color w:val="auto"/>
          <w:szCs w:val="21"/>
          <w:highlight w:val="none"/>
          <w:u w:val="single"/>
        </w:rPr>
        <w:t xml:space="preserve">                         </w:t>
      </w:r>
      <w:r>
        <w:rPr>
          <w:rFonts w:hint="eastAsia" w:ascii="宋体" w:hAnsi="宋体"/>
          <w:color w:val="auto"/>
          <w:szCs w:val="21"/>
          <w:highlight w:val="none"/>
        </w:rPr>
        <w:t>（签发机关名称）签发的我方税务登记证复印件，该证件真实有效。</w:t>
      </w:r>
    </w:p>
    <w:p>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现附上由</w:t>
      </w:r>
      <w:r>
        <w:rPr>
          <w:rFonts w:hint="eastAsia" w:ascii="宋体" w:hAnsi="宋体"/>
          <w:color w:val="auto"/>
          <w:szCs w:val="21"/>
          <w:highlight w:val="none"/>
          <w:u w:val="single"/>
        </w:rPr>
        <w:t xml:space="preserve">                         </w:t>
      </w:r>
      <w:r>
        <w:rPr>
          <w:rFonts w:hint="eastAsia" w:ascii="宋体" w:hAnsi="宋体"/>
          <w:color w:val="auto"/>
          <w:szCs w:val="21"/>
          <w:highlight w:val="none"/>
        </w:rPr>
        <w:t>（签发机关名称）签发的我方组织机构代码证复印件，真实有效。</w:t>
      </w:r>
    </w:p>
    <w:p>
      <w:pPr>
        <w:spacing w:line="380" w:lineRule="exact"/>
        <w:ind w:firstLine="420" w:firstLineChars="200"/>
        <w:rPr>
          <w:rFonts w:hint="eastAsia" w:ascii="宋体" w:hAnsi="宋体"/>
          <w:color w:val="auto"/>
          <w:szCs w:val="21"/>
          <w:highlight w:val="none"/>
        </w:rPr>
      </w:pPr>
    </w:p>
    <w:p>
      <w:pPr>
        <w:spacing w:line="380" w:lineRule="exact"/>
        <w:rPr>
          <w:rFonts w:hint="eastAsia" w:ascii="宋体" w:hAnsi="宋体"/>
          <w:color w:val="auto"/>
          <w:szCs w:val="21"/>
          <w:highlight w:val="none"/>
        </w:rPr>
      </w:pPr>
    </w:p>
    <w:p>
      <w:pPr>
        <w:pStyle w:val="2"/>
        <w:tabs>
          <w:tab w:val="left" w:pos="8100"/>
        </w:tabs>
        <w:ind w:firstLine="480" w:firstLineChars="200"/>
        <w:rPr>
          <w:rFonts w:hint="eastAsia" w:ascii="宋体"/>
          <w:color w:val="auto"/>
          <w:szCs w:val="21"/>
          <w:highlight w:val="none"/>
        </w:rPr>
      </w:pPr>
      <w:r>
        <w:rPr>
          <w:rFonts w:hint="eastAsia" w:ascii="宋体"/>
          <w:color w:val="auto"/>
          <w:szCs w:val="21"/>
          <w:highlight w:val="none"/>
        </w:rPr>
        <w:t xml:space="preserve"> </w:t>
      </w:r>
    </w:p>
    <w:p>
      <w:pPr>
        <w:spacing w:line="380" w:lineRule="exact"/>
        <w:rPr>
          <w:rFonts w:hint="eastAsia" w:ascii="宋体" w:hAnsi="宋体"/>
          <w:color w:val="auto"/>
          <w:szCs w:val="21"/>
          <w:highlight w:val="none"/>
        </w:rPr>
      </w:pPr>
    </w:p>
    <w:p>
      <w:pPr>
        <w:spacing w:line="380" w:lineRule="exact"/>
        <w:rPr>
          <w:rFonts w:hint="eastAsia" w:ascii="宋体" w:hAnsi="宋体"/>
          <w:color w:val="auto"/>
          <w:szCs w:val="21"/>
          <w:highlight w:val="none"/>
        </w:rPr>
      </w:pPr>
    </w:p>
    <w:p>
      <w:pPr>
        <w:spacing w:line="380" w:lineRule="exact"/>
        <w:rPr>
          <w:rFonts w:hint="eastAsia" w:ascii="宋体" w:hAnsi="宋体"/>
          <w:color w:val="auto"/>
          <w:szCs w:val="21"/>
          <w:highlight w:val="none"/>
        </w:rPr>
      </w:pPr>
    </w:p>
    <w:p>
      <w:pPr>
        <w:spacing w:line="380" w:lineRule="exact"/>
        <w:rPr>
          <w:rFonts w:hint="eastAsia" w:ascii="宋体" w:hAnsi="宋体"/>
          <w:color w:val="auto"/>
          <w:szCs w:val="21"/>
          <w:highlight w:val="none"/>
        </w:rPr>
      </w:pPr>
    </w:p>
    <w:p>
      <w:pPr>
        <w:spacing w:line="380" w:lineRule="exact"/>
        <w:rPr>
          <w:rFonts w:hint="eastAsia" w:ascii="宋体" w:hAnsi="宋体"/>
          <w:color w:val="auto"/>
          <w:szCs w:val="21"/>
          <w:highlight w:val="none"/>
        </w:rPr>
      </w:pPr>
    </w:p>
    <w:p>
      <w:pPr>
        <w:spacing w:line="380" w:lineRule="exact"/>
        <w:rPr>
          <w:rFonts w:hint="eastAsia" w:ascii="宋体" w:hAnsi="宋体"/>
          <w:color w:val="auto"/>
          <w:szCs w:val="21"/>
          <w:highlight w:val="none"/>
        </w:rPr>
      </w:pPr>
    </w:p>
    <w:p>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投 标 人（全称并加盖公章）：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投标人代表签字：</w:t>
      </w:r>
      <w:r>
        <w:rPr>
          <w:rFonts w:hint="eastAsia" w:ascii="宋体" w:hAnsi="宋体"/>
          <w:color w:val="auto"/>
          <w:szCs w:val="21"/>
          <w:highlight w:val="none"/>
          <w:u w:val="single"/>
        </w:rPr>
        <w:t xml:space="preserve">                            </w:t>
      </w:r>
    </w:p>
    <w:p>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日      期：</w:t>
      </w:r>
      <w:r>
        <w:rPr>
          <w:rFonts w:hint="eastAsia" w:ascii="宋体" w:hAnsi="宋体"/>
          <w:color w:val="auto"/>
          <w:szCs w:val="21"/>
          <w:highlight w:val="none"/>
          <w:u w:val="single"/>
        </w:rPr>
        <w:t xml:space="preserve">                                </w:t>
      </w:r>
    </w:p>
    <w:p>
      <w:pPr>
        <w:spacing w:line="380" w:lineRule="exact"/>
        <w:rPr>
          <w:rFonts w:hint="eastAsia" w:ascii="宋体" w:hAnsi="宋体"/>
          <w:color w:val="auto"/>
          <w:szCs w:val="21"/>
          <w:highlight w:val="none"/>
        </w:rPr>
      </w:pPr>
    </w:p>
    <w:p>
      <w:pPr>
        <w:spacing w:line="380" w:lineRule="exact"/>
        <w:jc w:val="center"/>
        <w:rPr>
          <w:rFonts w:hint="eastAsia" w:ascii="宋体" w:hAnsi="宋体"/>
          <w:color w:val="auto"/>
          <w:szCs w:val="21"/>
          <w:highlight w:val="none"/>
        </w:rPr>
      </w:pPr>
    </w:p>
    <w:p>
      <w:pPr>
        <w:rPr>
          <w:rFonts w:hint="eastAsia" w:ascii="宋体" w:hAnsi="宋体"/>
          <w:color w:val="auto"/>
          <w:szCs w:val="21"/>
          <w:highlight w:val="none"/>
        </w:rPr>
      </w:pPr>
      <w:r>
        <w:rPr>
          <w:rFonts w:hint="eastAsia" w:ascii="宋体" w:hAnsi="宋体"/>
          <w:color w:val="auto"/>
          <w:sz w:val="24"/>
          <w:highlight w:val="none"/>
        </w:rPr>
        <w:t>注：三证合一情形的需在此处注明，制作时删除本句。</w:t>
      </w:r>
    </w:p>
    <w:p>
      <w:pPr>
        <w:rPr>
          <w:rFonts w:hint="eastAsia" w:ascii="宋体" w:hAnsi="宋体"/>
          <w:color w:val="auto"/>
          <w:sz w:val="24"/>
          <w:highlight w:val="none"/>
        </w:rPr>
      </w:pPr>
    </w:p>
    <w:p>
      <w:pPr>
        <w:jc w:val="center"/>
        <w:rPr>
          <w:rFonts w:hint="eastAsia" w:ascii="宋体" w:hAnsi="宋体"/>
          <w:b/>
          <w:color w:val="auto"/>
          <w:sz w:val="36"/>
          <w:highlight w:val="none"/>
        </w:rPr>
      </w:pPr>
    </w:p>
    <w:p>
      <w:pPr>
        <w:jc w:val="center"/>
        <w:rPr>
          <w:rFonts w:hint="eastAsia" w:ascii="宋体" w:hAnsi="宋体"/>
          <w:b/>
          <w:color w:val="auto"/>
          <w:sz w:val="36"/>
          <w:highlight w:val="none"/>
        </w:rPr>
      </w:pPr>
    </w:p>
    <w:p>
      <w:pPr>
        <w:jc w:val="center"/>
        <w:rPr>
          <w:rFonts w:hint="eastAsia" w:ascii="宋体" w:hAnsi="宋体"/>
          <w:b/>
          <w:color w:val="auto"/>
          <w:sz w:val="36"/>
          <w:highlight w:val="none"/>
        </w:rPr>
      </w:pPr>
    </w:p>
    <w:p>
      <w:pPr>
        <w:jc w:val="center"/>
        <w:rPr>
          <w:rFonts w:hint="eastAsia" w:ascii="宋体" w:hAnsi="宋体"/>
          <w:b/>
          <w:color w:val="auto"/>
          <w:sz w:val="36"/>
          <w:highlight w:val="none"/>
        </w:rPr>
      </w:pPr>
    </w:p>
    <w:p>
      <w:pPr>
        <w:jc w:val="center"/>
        <w:rPr>
          <w:rFonts w:hint="eastAsia" w:ascii="宋体" w:hAnsi="宋体"/>
          <w:b/>
          <w:color w:val="auto"/>
          <w:sz w:val="30"/>
          <w:szCs w:val="30"/>
          <w:highlight w:val="none"/>
        </w:rPr>
      </w:pPr>
      <w:r>
        <w:rPr>
          <w:rFonts w:ascii="宋体" w:hAnsi="宋体"/>
          <w:b/>
          <w:color w:val="auto"/>
          <w:sz w:val="36"/>
          <w:highlight w:val="none"/>
        </w:rPr>
        <w:br w:type="page"/>
      </w:r>
      <w:r>
        <w:rPr>
          <w:rFonts w:hint="eastAsia" w:ascii="宋体" w:hAnsi="宋体"/>
          <w:b/>
          <w:color w:val="auto"/>
          <w:sz w:val="32"/>
          <w:szCs w:val="32"/>
          <w:highlight w:val="none"/>
        </w:rPr>
        <w:t>6-4、投标人财务状况证明材料</w:t>
      </w:r>
    </w:p>
    <w:p>
      <w:pPr>
        <w:jc w:val="center"/>
        <w:rPr>
          <w:rFonts w:hint="eastAsia" w:ascii="宋体" w:hAnsi="宋体"/>
          <w:b/>
          <w:color w:val="auto"/>
          <w:sz w:val="36"/>
          <w:highlight w:val="none"/>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2" w:hRule="atLeast"/>
        </w:trPr>
        <w:tc>
          <w:tcPr>
            <w:tcW w:w="5000" w:type="pct"/>
            <w:noWrap w:val="0"/>
            <w:vAlign w:val="center"/>
          </w:tcPr>
          <w:p>
            <w:pPr>
              <w:spacing w:line="700" w:lineRule="exact"/>
              <w:jc w:val="left"/>
              <w:rPr>
                <w:rFonts w:hint="eastAsia" w:ascii="宋体" w:hAnsi="宋体"/>
                <w:color w:val="auto"/>
                <w:sz w:val="24"/>
                <w:highlight w:val="none"/>
              </w:rPr>
            </w:pPr>
            <w:r>
              <w:rPr>
                <w:rFonts w:hint="eastAsia" w:ascii="宋体" w:hAnsi="宋体"/>
                <w:color w:val="auto"/>
                <w:sz w:val="24"/>
                <w:highlight w:val="none"/>
              </w:rPr>
              <w:t xml:space="preserve">    1、提供2022年度或2023年度经审计的财务报表（包括资产负债表、利润表、现金流量表</w:t>
            </w:r>
            <w:r>
              <w:rPr>
                <w:rFonts w:hint="eastAsia" w:ascii="宋体" w:hAnsi="宋体"/>
                <w:color w:val="auto"/>
                <w:sz w:val="24"/>
                <w:highlight w:val="none"/>
                <w:lang w:eastAsia="zh-CN"/>
              </w:rPr>
              <w:t>，</w:t>
            </w:r>
            <w:r>
              <w:rPr>
                <w:rFonts w:hint="eastAsia" w:ascii="宋体" w:hAnsi="宋体"/>
                <w:color w:val="auto"/>
                <w:sz w:val="24"/>
                <w:highlight w:val="none"/>
              </w:rPr>
              <w:t>如果所有者权益发生变动的需提供所有者权益变动表及其附注）；</w:t>
            </w:r>
          </w:p>
          <w:p>
            <w:pPr>
              <w:spacing w:line="700" w:lineRule="exact"/>
              <w:jc w:val="left"/>
              <w:rPr>
                <w:rFonts w:hint="eastAsia" w:ascii="宋体" w:hAnsi="宋体"/>
                <w:color w:val="auto"/>
                <w:sz w:val="24"/>
                <w:highlight w:val="none"/>
              </w:rPr>
            </w:pPr>
            <w:r>
              <w:rPr>
                <w:rFonts w:hint="eastAsia" w:ascii="宋体" w:hAnsi="宋体"/>
                <w:color w:val="auto"/>
                <w:sz w:val="24"/>
                <w:highlight w:val="none"/>
              </w:rPr>
              <w:t xml:space="preserve">    2、投标截止时间前6个月中的任一月的财务报表；</w:t>
            </w:r>
          </w:p>
          <w:p>
            <w:pPr>
              <w:spacing w:line="700" w:lineRule="exact"/>
              <w:jc w:val="left"/>
              <w:rPr>
                <w:rFonts w:hint="eastAsia" w:ascii="宋体" w:hAnsi="宋体"/>
                <w:color w:val="auto"/>
                <w:sz w:val="24"/>
                <w:highlight w:val="none"/>
              </w:rPr>
            </w:pPr>
            <w:r>
              <w:rPr>
                <w:rFonts w:hint="eastAsia" w:ascii="宋体" w:hAnsi="宋体"/>
                <w:color w:val="auto"/>
                <w:sz w:val="24"/>
                <w:highlight w:val="none"/>
              </w:rPr>
              <w:t xml:space="preserve">    3、其基本开户银行出具的资信证明复印件。</w:t>
            </w:r>
          </w:p>
          <w:p>
            <w:pPr>
              <w:spacing w:line="7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注：上述材料只需提供一项，无需同时提供，制作时删除本栏。</w:t>
            </w:r>
          </w:p>
        </w:tc>
      </w:tr>
    </w:tbl>
    <w:p>
      <w:pPr>
        <w:spacing w:line="700" w:lineRule="exact"/>
        <w:jc w:val="center"/>
        <w:rPr>
          <w:rFonts w:ascii="宋体" w:hAnsi="宋体"/>
          <w:color w:val="auto"/>
          <w:szCs w:val="21"/>
          <w:highlight w:val="none"/>
        </w:rPr>
      </w:pPr>
    </w:p>
    <w:p>
      <w:pPr>
        <w:jc w:val="center"/>
        <w:rPr>
          <w:rFonts w:hint="eastAsia" w:ascii="宋体" w:hAnsi="宋体"/>
          <w:b/>
          <w:color w:val="auto"/>
          <w:sz w:val="30"/>
          <w:szCs w:val="30"/>
          <w:highlight w:val="none"/>
        </w:rPr>
      </w:pPr>
    </w:p>
    <w:p>
      <w:pPr>
        <w:jc w:val="center"/>
        <w:rPr>
          <w:rFonts w:hint="eastAsia" w:ascii="宋体" w:hAnsi="宋体"/>
          <w:b/>
          <w:color w:val="auto"/>
          <w:sz w:val="30"/>
          <w:szCs w:val="30"/>
          <w:highlight w:val="none"/>
        </w:rPr>
      </w:pPr>
    </w:p>
    <w:p>
      <w:pPr>
        <w:jc w:val="center"/>
        <w:rPr>
          <w:rFonts w:hint="eastAsia" w:ascii="宋体" w:hAnsi="宋体"/>
          <w:b/>
          <w:color w:val="auto"/>
          <w:sz w:val="30"/>
          <w:szCs w:val="30"/>
          <w:highlight w:val="none"/>
        </w:rPr>
      </w:pPr>
    </w:p>
    <w:p>
      <w:pPr>
        <w:jc w:val="center"/>
        <w:rPr>
          <w:rFonts w:hint="eastAsia" w:ascii="宋体" w:hAnsi="宋体"/>
          <w:b/>
          <w:color w:val="auto"/>
          <w:sz w:val="30"/>
          <w:szCs w:val="30"/>
          <w:highlight w:val="none"/>
        </w:rPr>
      </w:pPr>
    </w:p>
    <w:p>
      <w:pPr>
        <w:jc w:val="center"/>
        <w:rPr>
          <w:rFonts w:hint="eastAsia" w:ascii="宋体" w:hAnsi="宋体"/>
          <w:b/>
          <w:bCs/>
          <w:color w:val="auto"/>
          <w:szCs w:val="21"/>
          <w:highlight w:val="none"/>
        </w:rPr>
      </w:pPr>
    </w:p>
    <w:p>
      <w:pPr>
        <w:jc w:val="center"/>
        <w:rPr>
          <w:rFonts w:hint="eastAsia" w:ascii="宋体" w:hAnsi="宋体"/>
          <w:b/>
          <w:bCs/>
          <w:color w:val="auto"/>
          <w:szCs w:val="21"/>
          <w:highlight w:val="none"/>
        </w:rPr>
      </w:pPr>
      <w:r>
        <w:rPr>
          <w:rFonts w:hint="eastAsia" w:ascii="宋体" w:hAnsi="宋体"/>
          <w:b/>
          <w:bCs/>
          <w:color w:val="auto"/>
          <w:szCs w:val="21"/>
          <w:highlight w:val="none"/>
        </w:rPr>
        <w:t xml:space="preserve"> </w:t>
      </w:r>
    </w:p>
    <w:p>
      <w:pPr>
        <w:spacing w:line="380" w:lineRule="exact"/>
        <w:ind w:firstLine="2625" w:firstLineChars="1250"/>
        <w:rPr>
          <w:rFonts w:hint="eastAsia" w:ascii="宋体" w:hAnsi="宋体"/>
          <w:color w:val="auto"/>
          <w:szCs w:val="21"/>
          <w:highlight w:val="none"/>
        </w:rPr>
      </w:pPr>
      <w:r>
        <w:rPr>
          <w:rFonts w:hint="eastAsia" w:ascii="宋体" w:hAnsi="宋体"/>
          <w:color w:val="auto"/>
          <w:szCs w:val="21"/>
          <w:highlight w:val="none"/>
        </w:rPr>
        <w:t xml:space="preserve">    投 标 人（全称并加盖公章）：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投标人代表签字：</w:t>
      </w:r>
      <w:r>
        <w:rPr>
          <w:rFonts w:hint="eastAsia" w:ascii="宋体" w:hAnsi="宋体"/>
          <w:color w:val="auto"/>
          <w:szCs w:val="21"/>
          <w:highlight w:val="none"/>
          <w:u w:val="single"/>
        </w:rPr>
        <w:t xml:space="preserve">                            </w:t>
      </w:r>
    </w:p>
    <w:p>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日      期：</w:t>
      </w:r>
      <w:r>
        <w:rPr>
          <w:rFonts w:hint="eastAsia" w:ascii="宋体" w:hAnsi="宋体"/>
          <w:color w:val="auto"/>
          <w:szCs w:val="21"/>
          <w:highlight w:val="none"/>
          <w:u w:val="single"/>
        </w:rPr>
        <w:t xml:space="preserve">                                </w:t>
      </w:r>
    </w:p>
    <w:p>
      <w:pPr>
        <w:spacing w:line="380" w:lineRule="exact"/>
        <w:jc w:val="center"/>
        <w:rPr>
          <w:rFonts w:ascii="宋体" w:hAnsi="宋体"/>
          <w:color w:val="auto"/>
          <w:szCs w:val="21"/>
          <w:highlight w:val="none"/>
        </w:rPr>
      </w:pPr>
      <w:r>
        <w:rPr>
          <w:rFonts w:ascii="宋体" w:hAnsi="宋体"/>
          <w:b/>
          <w:color w:val="auto"/>
          <w:szCs w:val="21"/>
          <w:highlight w:val="none"/>
        </w:rPr>
        <w:br w:type="page"/>
      </w:r>
      <w:r>
        <w:rPr>
          <w:rFonts w:hint="eastAsia" w:ascii="宋体" w:hAnsi="宋体"/>
          <w:b/>
          <w:color w:val="auto"/>
          <w:sz w:val="32"/>
          <w:szCs w:val="32"/>
          <w:highlight w:val="none"/>
        </w:rPr>
        <w:t>6-5、投标人依法缴纳税收和社会保障资金的证明材料</w:t>
      </w:r>
    </w:p>
    <w:p>
      <w:pPr>
        <w:jc w:val="center"/>
        <w:rPr>
          <w:rFonts w:ascii="宋体" w:hAnsi="宋体"/>
          <w:b/>
          <w:color w:val="auto"/>
          <w:sz w:val="30"/>
          <w:szCs w:val="30"/>
          <w:highlight w:val="none"/>
        </w:rPr>
      </w:pPr>
      <w:r>
        <w:rPr>
          <w:rFonts w:hint="eastAsia" w:ascii="宋体" w:hAnsi="宋体"/>
          <w:color w:val="auto"/>
          <w:szCs w:val="21"/>
          <w:highlight w:val="none"/>
        </w:rPr>
        <w:t xml:space="preserve">    </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7" w:hRule="atLeast"/>
        </w:trPr>
        <w:tc>
          <w:tcPr>
            <w:tcW w:w="5000" w:type="pct"/>
            <w:noWrap w:val="0"/>
            <w:vAlign w:val="center"/>
          </w:tcPr>
          <w:p>
            <w:pPr>
              <w:spacing w:line="700" w:lineRule="exact"/>
              <w:jc w:val="left"/>
              <w:rPr>
                <w:rFonts w:hint="eastAsia" w:ascii="宋体" w:hAnsi="宋体"/>
                <w:color w:val="auto"/>
                <w:sz w:val="24"/>
                <w:highlight w:val="none"/>
              </w:rPr>
            </w:pPr>
            <w:r>
              <w:rPr>
                <w:rFonts w:hint="eastAsia" w:ascii="宋体" w:hAnsi="宋体"/>
                <w:color w:val="auto"/>
                <w:sz w:val="24"/>
                <w:highlight w:val="none"/>
              </w:rPr>
              <w:t xml:space="preserve">    1、提供投标截止时间前6个月中的任一月的依法缴纳税收的凭据；或提供依法免税的相应证明文件；</w:t>
            </w:r>
          </w:p>
          <w:p>
            <w:pPr>
              <w:spacing w:line="700" w:lineRule="exact"/>
              <w:jc w:val="left"/>
              <w:rPr>
                <w:rFonts w:hint="eastAsia" w:ascii="宋体" w:hAnsi="宋体"/>
                <w:color w:val="auto"/>
                <w:sz w:val="24"/>
                <w:highlight w:val="none"/>
              </w:rPr>
            </w:pPr>
            <w:r>
              <w:rPr>
                <w:rFonts w:hint="eastAsia" w:ascii="宋体" w:hAnsi="宋体"/>
                <w:color w:val="auto"/>
                <w:sz w:val="24"/>
                <w:highlight w:val="none"/>
              </w:rPr>
              <w:t xml:space="preserve">    2、提供投标截止时间前6个月中的任一月的依法缴纳社会保障资金的凭据；或提供依法不需要缴纳社会保障资金的相应证明文件；</w:t>
            </w:r>
          </w:p>
          <w:p>
            <w:pPr>
              <w:spacing w:line="700" w:lineRule="exact"/>
              <w:jc w:val="left"/>
              <w:rPr>
                <w:rFonts w:hint="eastAsia" w:ascii="宋体" w:hAnsi="宋体"/>
                <w:b/>
                <w:color w:val="auto"/>
                <w:sz w:val="24"/>
                <w:highlight w:val="none"/>
              </w:rPr>
            </w:pPr>
            <w:r>
              <w:rPr>
                <w:rFonts w:hint="eastAsia" w:ascii="宋体" w:hAnsi="宋体"/>
                <w:color w:val="auto"/>
                <w:sz w:val="24"/>
                <w:highlight w:val="none"/>
              </w:rPr>
              <w:t xml:space="preserve">    注：上述材料必须同时提交，制作时删除本栏。</w:t>
            </w:r>
          </w:p>
        </w:tc>
      </w:tr>
    </w:tbl>
    <w:p>
      <w:pPr>
        <w:spacing w:line="700" w:lineRule="exact"/>
        <w:jc w:val="center"/>
        <w:rPr>
          <w:rFonts w:hint="eastAsia" w:ascii="宋体" w:hAnsi="宋体"/>
          <w:b/>
          <w:color w:val="auto"/>
          <w:sz w:val="30"/>
          <w:szCs w:val="30"/>
          <w:highlight w:val="none"/>
        </w:rPr>
      </w:pPr>
    </w:p>
    <w:p>
      <w:pPr>
        <w:jc w:val="center"/>
        <w:rPr>
          <w:rFonts w:hint="eastAsia" w:ascii="宋体" w:hAnsi="宋体"/>
          <w:b/>
          <w:color w:val="auto"/>
          <w:sz w:val="30"/>
          <w:szCs w:val="30"/>
          <w:highlight w:val="none"/>
        </w:rPr>
      </w:pPr>
    </w:p>
    <w:p>
      <w:pPr>
        <w:jc w:val="center"/>
        <w:rPr>
          <w:rFonts w:hint="eastAsia" w:ascii="宋体" w:hAnsi="宋体"/>
          <w:b/>
          <w:color w:val="auto"/>
          <w:sz w:val="30"/>
          <w:szCs w:val="30"/>
          <w:highlight w:val="none"/>
        </w:rPr>
      </w:pPr>
    </w:p>
    <w:p>
      <w:pPr>
        <w:jc w:val="center"/>
        <w:rPr>
          <w:rFonts w:hint="eastAsia" w:ascii="宋体" w:hAnsi="宋体"/>
          <w:b/>
          <w:color w:val="auto"/>
          <w:sz w:val="30"/>
          <w:szCs w:val="30"/>
          <w:highlight w:val="none"/>
        </w:rPr>
      </w:pPr>
    </w:p>
    <w:p>
      <w:pPr>
        <w:rPr>
          <w:rFonts w:hint="eastAsia" w:ascii="宋体" w:hAnsi="宋体"/>
          <w:b/>
          <w:color w:val="auto"/>
          <w:sz w:val="30"/>
          <w:szCs w:val="30"/>
          <w:highlight w:val="none"/>
        </w:rPr>
      </w:pPr>
    </w:p>
    <w:p>
      <w:pPr>
        <w:jc w:val="center"/>
        <w:rPr>
          <w:rFonts w:hint="eastAsia" w:ascii="宋体" w:hAnsi="宋体"/>
          <w:b/>
          <w:color w:val="auto"/>
          <w:sz w:val="30"/>
          <w:szCs w:val="30"/>
          <w:highlight w:val="none"/>
        </w:rPr>
      </w:pPr>
    </w:p>
    <w:p>
      <w:pPr>
        <w:jc w:val="center"/>
        <w:rPr>
          <w:rFonts w:hint="eastAsia" w:ascii="宋体" w:hAnsi="宋体"/>
          <w:b/>
          <w:color w:val="auto"/>
          <w:sz w:val="30"/>
          <w:szCs w:val="30"/>
          <w:highlight w:val="none"/>
        </w:rPr>
      </w:pPr>
    </w:p>
    <w:p>
      <w:pPr>
        <w:jc w:val="center"/>
        <w:rPr>
          <w:rFonts w:hint="eastAsia" w:ascii="宋体" w:hAnsi="宋体"/>
          <w:b/>
          <w:color w:val="auto"/>
          <w:szCs w:val="21"/>
          <w:highlight w:val="none"/>
        </w:rPr>
      </w:pPr>
    </w:p>
    <w:p>
      <w:pPr>
        <w:spacing w:line="380" w:lineRule="exact"/>
        <w:ind w:firstLine="3675" w:firstLineChars="1750"/>
        <w:rPr>
          <w:rFonts w:hint="eastAsia" w:ascii="宋体" w:hAnsi="宋体"/>
          <w:color w:val="auto"/>
          <w:szCs w:val="21"/>
          <w:highlight w:val="none"/>
        </w:rPr>
      </w:pPr>
      <w:r>
        <w:rPr>
          <w:rFonts w:hint="eastAsia" w:ascii="宋体" w:hAnsi="宋体"/>
          <w:color w:val="auto"/>
          <w:szCs w:val="21"/>
          <w:highlight w:val="none"/>
        </w:rPr>
        <w:t>投 标 人（全称并加盖公章）：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投标人代表签字：</w:t>
      </w:r>
      <w:r>
        <w:rPr>
          <w:rFonts w:hint="eastAsia" w:ascii="宋体" w:hAnsi="宋体"/>
          <w:color w:val="auto"/>
          <w:szCs w:val="21"/>
          <w:highlight w:val="none"/>
          <w:u w:val="single"/>
        </w:rPr>
        <w:t xml:space="preserve">                            </w:t>
      </w:r>
    </w:p>
    <w:p>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日      期：</w:t>
      </w:r>
      <w:r>
        <w:rPr>
          <w:rFonts w:hint="eastAsia" w:ascii="宋体" w:hAnsi="宋体"/>
          <w:color w:val="auto"/>
          <w:szCs w:val="21"/>
          <w:highlight w:val="none"/>
          <w:u w:val="single"/>
        </w:rPr>
        <w:t xml:space="preserve">                                </w:t>
      </w:r>
    </w:p>
    <w:p>
      <w:pPr>
        <w:jc w:val="center"/>
        <w:rPr>
          <w:rFonts w:hint="eastAsia" w:ascii="宋体" w:hAnsi="宋体"/>
          <w:b/>
          <w:color w:val="auto"/>
          <w:szCs w:val="21"/>
          <w:highlight w:val="none"/>
        </w:rPr>
      </w:pPr>
    </w:p>
    <w:p>
      <w:pPr>
        <w:jc w:val="center"/>
        <w:rPr>
          <w:rFonts w:hint="eastAsia" w:ascii="宋体" w:hAnsi="宋体"/>
          <w:b/>
          <w:color w:val="auto"/>
          <w:szCs w:val="21"/>
          <w:highlight w:val="none"/>
        </w:rPr>
      </w:pPr>
    </w:p>
    <w:p>
      <w:pPr>
        <w:jc w:val="center"/>
        <w:rPr>
          <w:rFonts w:hint="eastAsia" w:ascii="宋体" w:hAnsi="宋体"/>
          <w:b/>
          <w:color w:val="auto"/>
          <w:szCs w:val="21"/>
          <w:highlight w:val="none"/>
        </w:rPr>
      </w:pPr>
    </w:p>
    <w:p>
      <w:pPr>
        <w:jc w:val="center"/>
        <w:rPr>
          <w:rFonts w:hint="eastAsia" w:ascii="宋体" w:hAnsi="宋体"/>
          <w:b/>
          <w:color w:val="auto"/>
          <w:sz w:val="30"/>
          <w:szCs w:val="30"/>
          <w:highlight w:val="none"/>
        </w:rPr>
      </w:pPr>
      <w:r>
        <w:rPr>
          <w:rFonts w:ascii="宋体" w:hAnsi="宋体"/>
          <w:b/>
          <w:color w:val="auto"/>
          <w:sz w:val="30"/>
          <w:szCs w:val="30"/>
          <w:highlight w:val="none"/>
        </w:rPr>
        <w:br w:type="page"/>
      </w:r>
      <w:r>
        <w:rPr>
          <w:rFonts w:hint="eastAsia" w:ascii="宋体" w:hAnsi="宋体"/>
          <w:b/>
          <w:color w:val="auto"/>
          <w:sz w:val="32"/>
          <w:szCs w:val="32"/>
          <w:highlight w:val="none"/>
        </w:rPr>
        <w:t>6-6、投标人具备履行合同所必需的设备和专业技术能力的证明材料</w:t>
      </w:r>
    </w:p>
    <w:p>
      <w:pPr>
        <w:rPr>
          <w:rFonts w:hint="eastAsia" w:ascii="宋体" w:hAnsi="宋体"/>
          <w:b/>
          <w:color w:val="auto"/>
          <w:sz w:val="36"/>
          <w:highlight w:val="none"/>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65" w:hRule="atLeast"/>
        </w:trPr>
        <w:tc>
          <w:tcPr>
            <w:tcW w:w="5000" w:type="pct"/>
            <w:noWrap w:val="0"/>
            <w:vAlign w:val="center"/>
          </w:tcPr>
          <w:p>
            <w:pPr>
              <w:spacing w:line="70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1、投标人须提供办公场所的产地证明材料（属于自有产权的提供产权证复印件，非自有产权的提供产地租赁合同复印件，租赁期限不少于一年）；</w:t>
            </w:r>
          </w:p>
          <w:p>
            <w:pPr>
              <w:spacing w:line="70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2、投标人须提供履行本合同至少一名人员的学历证书或职称证书及投标人为其缴纳社会保险的证明材料。</w:t>
            </w:r>
          </w:p>
          <w:p>
            <w:pPr>
              <w:spacing w:line="700" w:lineRule="exact"/>
              <w:ind w:firstLine="480" w:firstLineChars="200"/>
              <w:jc w:val="left"/>
              <w:rPr>
                <w:rFonts w:hint="eastAsia" w:ascii="宋体" w:hAnsi="宋体"/>
                <w:b/>
                <w:color w:val="auto"/>
                <w:sz w:val="24"/>
                <w:highlight w:val="none"/>
              </w:rPr>
            </w:pPr>
            <w:r>
              <w:rPr>
                <w:rFonts w:hint="eastAsia" w:ascii="宋体" w:hAnsi="宋体"/>
                <w:bCs/>
                <w:color w:val="auto"/>
                <w:sz w:val="24"/>
                <w:highlight w:val="none"/>
              </w:rPr>
              <w:t>制作时删除本栏。</w:t>
            </w:r>
          </w:p>
        </w:tc>
      </w:tr>
    </w:tbl>
    <w:p>
      <w:pPr>
        <w:jc w:val="center"/>
        <w:rPr>
          <w:rFonts w:hint="eastAsia" w:ascii="宋体" w:hAnsi="宋体"/>
          <w:b/>
          <w:color w:val="auto"/>
          <w:sz w:val="30"/>
          <w:szCs w:val="30"/>
          <w:highlight w:val="none"/>
        </w:rPr>
      </w:pPr>
    </w:p>
    <w:p>
      <w:pPr>
        <w:rPr>
          <w:rFonts w:hint="eastAsia" w:ascii="宋体" w:hAnsi="宋体"/>
          <w:b/>
          <w:color w:val="auto"/>
          <w:sz w:val="30"/>
          <w:szCs w:val="30"/>
          <w:highlight w:val="none"/>
        </w:rPr>
      </w:pPr>
    </w:p>
    <w:p>
      <w:pPr>
        <w:jc w:val="center"/>
        <w:rPr>
          <w:rFonts w:hint="eastAsia" w:ascii="宋体" w:hAnsi="宋体"/>
          <w:b/>
          <w:color w:val="auto"/>
          <w:sz w:val="30"/>
          <w:szCs w:val="30"/>
          <w:highlight w:val="none"/>
        </w:rPr>
      </w:pPr>
    </w:p>
    <w:p>
      <w:pPr>
        <w:jc w:val="center"/>
        <w:rPr>
          <w:rFonts w:hint="eastAsia" w:ascii="宋体" w:hAnsi="宋体"/>
          <w:b/>
          <w:color w:val="auto"/>
          <w:sz w:val="30"/>
          <w:szCs w:val="30"/>
          <w:highlight w:val="none"/>
        </w:rPr>
      </w:pPr>
    </w:p>
    <w:p>
      <w:pPr>
        <w:jc w:val="center"/>
        <w:rPr>
          <w:rFonts w:hint="eastAsia" w:ascii="宋体" w:hAnsi="宋体"/>
          <w:b/>
          <w:color w:val="auto"/>
          <w:sz w:val="30"/>
          <w:szCs w:val="30"/>
          <w:highlight w:val="none"/>
        </w:rPr>
      </w:pPr>
    </w:p>
    <w:p>
      <w:pPr>
        <w:rPr>
          <w:rFonts w:hint="eastAsia" w:ascii="宋体" w:hAnsi="宋体"/>
          <w:b/>
          <w:color w:val="auto"/>
          <w:sz w:val="30"/>
          <w:szCs w:val="30"/>
          <w:highlight w:val="none"/>
        </w:rPr>
      </w:pPr>
    </w:p>
    <w:p>
      <w:pPr>
        <w:jc w:val="center"/>
        <w:rPr>
          <w:rFonts w:hint="eastAsia" w:ascii="宋体" w:hAnsi="宋体"/>
          <w:b/>
          <w:color w:val="auto"/>
          <w:sz w:val="30"/>
          <w:szCs w:val="30"/>
          <w:highlight w:val="none"/>
        </w:rPr>
      </w:pPr>
    </w:p>
    <w:p>
      <w:pPr>
        <w:spacing w:line="380" w:lineRule="exact"/>
        <w:ind w:firstLine="2415" w:firstLineChars="1150"/>
        <w:rPr>
          <w:rFonts w:hint="eastAsia" w:ascii="宋体" w:hAnsi="宋体"/>
          <w:color w:val="auto"/>
          <w:szCs w:val="21"/>
          <w:highlight w:val="none"/>
        </w:rPr>
      </w:pPr>
    </w:p>
    <w:p>
      <w:pPr>
        <w:spacing w:line="380" w:lineRule="exact"/>
        <w:ind w:firstLine="2415" w:firstLineChars="1150"/>
        <w:rPr>
          <w:rFonts w:hint="eastAsia" w:ascii="宋体" w:hAnsi="宋体"/>
          <w:color w:val="auto"/>
          <w:szCs w:val="21"/>
          <w:highlight w:val="none"/>
        </w:rPr>
      </w:pPr>
    </w:p>
    <w:p>
      <w:pPr>
        <w:spacing w:line="380" w:lineRule="exact"/>
        <w:ind w:firstLine="2415" w:firstLineChars="1150"/>
        <w:rPr>
          <w:rFonts w:hint="eastAsia" w:ascii="宋体" w:hAnsi="宋体"/>
          <w:color w:val="auto"/>
          <w:szCs w:val="21"/>
          <w:highlight w:val="none"/>
        </w:rPr>
      </w:pPr>
      <w:r>
        <w:rPr>
          <w:rFonts w:hint="eastAsia" w:ascii="宋体" w:hAnsi="宋体"/>
          <w:color w:val="auto"/>
          <w:szCs w:val="21"/>
          <w:highlight w:val="none"/>
        </w:rPr>
        <w:t xml:space="preserve"> </w:t>
      </w:r>
    </w:p>
    <w:p>
      <w:pPr>
        <w:spacing w:line="380" w:lineRule="exact"/>
        <w:ind w:firstLine="3255" w:firstLineChars="1550"/>
        <w:rPr>
          <w:rFonts w:hint="eastAsia" w:ascii="宋体" w:hAnsi="宋体"/>
          <w:color w:val="auto"/>
          <w:szCs w:val="21"/>
          <w:highlight w:val="none"/>
        </w:rPr>
      </w:pPr>
      <w:r>
        <w:rPr>
          <w:rFonts w:hint="eastAsia" w:ascii="宋体" w:hAnsi="宋体"/>
          <w:color w:val="auto"/>
          <w:szCs w:val="21"/>
          <w:highlight w:val="none"/>
        </w:rPr>
        <w:t>投 标 人（全称并加盖公章）：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投标人代表签字：</w:t>
      </w:r>
      <w:r>
        <w:rPr>
          <w:rFonts w:hint="eastAsia" w:ascii="宋体" w:hAnsi="宋体"/>
          <w:color w:val="auto"/>
          <w:szCs w:val="21"/>
          <w:highlight w:val="none"/>
          <w:u w:val="single"/>
        </w:rPr>
        <w:t xml:space="preserve">                            </w:t>
      </w:r>
    </w:p>
    <w:p>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日      期：</w:t>
      </w:r>
      <w:r>
        <w:rPr>
          <w:rFonts w:hint="eastAsia" w:ascii="宋体" w:hAnsi="宋体"/>
          <w:color w:val="auto"/>
          <w:szCs w:val="21"/>
          <w:highlight w:val="none"/>
          <w:u w:val="single"/>
        </w:rPr>
        <w:t xml:space="preserve">                                </w:t>
      </w:r>
    </w:p>
    <w:p>
      <w:pPr>
        <w:rPr>
          <w:rFonts w:hint="eastAsia" w:ascii="宋体" w:hAnsi="宋体"/>
          <w:b/>
          <w:color w:val="auto"/>
          <w:szCs w:val="21"/>
          <w:highlight w:val="none"/>
        </w:rPr>
      </w:pPr>
    </w:p>
    <w:p>
      <w:pPr>
        <w:jc w:val="center"/>
        <w:rPr>
          <w:rFonts w:hint="eastAsia" w:ascii="宋体" w:hAnsi="宋体"/>
          <w:b/>
          <w:color w:val="auto"/>
          <w:szCs w:val="21"/>
          <w:highlight w:val="none"/>
        </w:rPr>
      </w:pPr>
    </w:p>
    <w:p>
      <w:pPr>
        <w:jc w:val="center"/>
        <w:rPr>
          <w:rFonts w:hint="eastAsia" w:ascii="宋体" w:hAnsi="宋体"/>
          <w:b/>
          <w:color w:val="auto"/>
          <w:sz w:val="24"/>
          <w:highlight w:val="none"/>
        </w:rPr>
      </w:pPr>
    </w:p>
    <w:p>
      <w:pPr>
        <w:pStyle w:val="18"/>
        <w:rPr>
          <w:rFonts w:hint="eastAsia"/>
          <w:color w:val="auto"/>
          <w:highlight w:val="none"/>
        </w:rPr>
      </w:pPr>
    </w:p>
    <w:p>
      <w:pPr>
        <w:rPr>
          <w:rFonts w:hint="eastAsia" w:ascii="宋体" w:hAnsi="宋体"/>
          <w:b/>
          <w:color w:val="auto"/>
          <w:sz w:val="30"/>
          <w:szCs w:val="30"/>
          <w:highlight w:val="none"/>
        </w:rPr>
      </w:pPr>
    </w:p>
    <w:p>
      <w:pPr>
        <w:spacing w:before="312" w:beforeLines="100" w:line="38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6-7、投标前3年内在经营活动中没有重大违法记录的书面声明</w:t>
      </w:r>
    </w:p>
    <w:p>
      <w:pPr>
        <w:jc w:val="center"/>
        <w:rPr>
          <w:rFonts w:hint="eastAsia" w:ascii="宋体" w:hAnsi="宋体"/>
          <w:b/>
          <w:color w:val="auto"/>
          <w:sz w:val="30"/>
          <w:szCs w:val="30"/>
          <w:highlight w:val="none"/>
        </w:rPr>
      </w:pPr>
    </w:p>
    <w:p>
      <w:pPr>
        <w:spacing w:line="380" w:lineRule="exact"/>
        <w:rPr>
          <w:rFonts w:hint="eastAsia" w:ascii="宋体" w:hAnsi="宋体"/>
          <w:color w:val="auto"/>
          <w:szCs w:val="21"/>
          <w:highlight w:val="none"/>
        </w:rPr>
      </w:pPr>
      <w:r>
        <w:rPr>
          <w:rFonts w:hint="eastAsia" w:ascii="宋体" w:hAnsi="宋体"/>
          <w:color w:val="auto"/>
          <w:szCs w:val="21"/>
          <w:highlight w:val="none"/>
          <w:u w:val="single"/>
          <w:lang w:eastAsia="zh-CN"/>
        </w:rPr>
        <w:t>福建吉瑞招标代理有限公司</w:t>
      </w:r>
      <w:r>
        <w:rPr>
          <w:rFonts w:hint="eastAsia" w:ascii="宋体" w:hAnsi="宋体"/>
          <w:color w:val="auto"/>
          <w:szCs w:val="21"/>
          <w:highlight w:val="none"/>
        </w:rPr>
        <w:t>：</w:t>
      </w:r>
    </w:p>
    <w:p>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w:t>
      </w:r>
    </w:p>
    <w:p>
      <w:pPr>
        <w:spacing w:line="500" w:lineRule="exact"/>
        <w:rPr>
          <w:rFonts w:hint="eastAsia" w:ascii="宋体" w:hAnsi="宋体"/>
          <w:color w:val="auto"/>
          <w:szCs w:val="21"/>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招标编号：</w:t>
      </w:r>
      <w:r>
        <w:rPr>
          <w:rFonts w:hint="eastAsia" w:ascii="宋体" w:hAnsi="宋体"/>
          <w:color w:val="auto"/>
          <w:szCs w:val="21"/>
          <w:highlight w:val="none"/>
          <w:u w:val="single"/>
        </w:rPr>
        <w:t xml:space="preserve">                 </w:t>
      </w:r>
    </w:p>
    <w:p>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根据中华人民共和国国务院第658号文件的规定，特作如下声明：</w:t>
      </w:r>
    </w:p>
    <w:p>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一、在投标前3年内在经营活动中没有重大违法记录。</w:t>
      </w:r>
    </w:p>
    <w:p>
      <w:pPr>
        <w:snapToGrid w:val="0"/>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二、我方若被采购人确定为</w:t>
      </w:r>
      <w:r>
        <w:rPr>
          <w:rFonts w:hint="eastAsia" w:ascii="宋体" w:hAnsi="宋体"/>
          <w:color w:val="auto"/>
          <w:szCs w:val="21"/>
          <w:highlight w:val="none"/>
          <w:lang w:eastAsia="zh-CN"/>
        </w:rPr>
        <w:t>中标供应商</w:t>
      </w:r>
      <w:r>
        <w:rPr>
          <w:rFonts w:hint="eastAsia" w:ascii="宋体" w:hAnsi="宋体"/>
          <w:color w:val="auto"/>
          <w:szCs w:val="21"/>
          <w:highlight w:val="none"/>
        </w:rPr>
        <w:t>，同意并接受各单位或个人的监督审查。</w:t>
      </w:r>
    </w:p>
    <w:p>
      <w:pPr>
        <w:snapToGrid w:val="0"/>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三、经查实我方若有虚假声明，同意招标采购单位对其投标保证金不予退还；并自觉接受政府采购管理部门的处罚，因在采购活动中出现违反本声明行为的给其他当事人造成经济损失的，按规定予以赔偿。如投标保证金不能弥补我方对采购人造成的损失，我方同意另行支付相应的赔偿。</w:t>
      </w:r>
    </w:p>
    <w:p>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四、我方自愿将本声明作为投标文件的组成内容。</w:t>
      </w:r>
    </w:p>
    <w:p>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五、本声明自签署之日起生效。</w:t>
      </w:r>
    </w:p>
    <w:p>
      <w:pPr>
        <w:spacing w:line="500" w:lineRule="exact"/>
        <w:ind w:firstLine="482"/>
        <w:rPr>
          <w:rFonts w:hint="eastAsia" w:ascii="宋体" w:hAnsi="宋体"/>
          <w:color w:val="auto"/>
          <w:szCs w:val="21"/>
          <w:highlight w:val="none"/>
        </w:rPr>
      </w:pPr>
      <w:r>
        <w:rPr>
          <w:rFonts w:hint="eastAsia" w:ascii="宋体" w:hAnsi="宋体"/>
          <w:color w:val="auto"/>
          <w:kern w:val="0"/>
          <w:szCs w:val="21"/>
          <w:highlight w:val="none"/>
        </w:rPr>
        <w:t>此声明是由（投标人全称）</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以</w:t>
      </w:r>
      <w:r>
        <w:rPr>
          <w:rFonts w:hint="eastAsia" w:ascii="宋体" w:hAnsi="宋体"/>
          <w:color w:val="auto"/>
          <w:kern w:val="0"/>
          <w:szCs w:val="21"/>
          <w:highlight w:val="none"/>
          <w:u w:val="single"/>
        </w:rPr>
        <w:t>（法定代表人或其</w:t>
      </w:r>
      <w:r>
        <w:rPr>
          <w:rFonts w:hint="eastAsia" w:ascii="宋体" w:hAnsi="宋体"/>
          <w:color w:val="auto"/>
          <w:szCs w:val="21"/>
          <w:highlight w:val="none"/>
          <w:u w:val="single"/>
        </w:rPr>
        <w:t>委托代理人</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为全权代表的身份提交的。</w:t>
      </w:r>
    </w:p>
    <w:p>
      <w:pPr>
        <w:spacing w:line="500" w:lineRule="exact"/>
        <w:rPr>
          <w:rFonts w:hint="eastAsia" w:ascii="宋体" w:hAnsi="宋体"/>
          <w:color w:val="auto"/>
          <w:szCs w:val="21"/>
          <w:highlight w:val="none"/>
          <w:u w:val="single"/>
        </w:rPr>
      </w:pPr>
    </w:p>
    <w:p>
      <w:pPr>
        <w:spacing w:line="500" w:lineRule="exact"/>
        <w:rPr>
          <w:rFonts w:hint="eastAsia" w:ascii="宋体" w:hAnsi="宋体"/>
          <w:color w:val="auto"/>
          <w:szCs w:val="21"/>
          <w:highlight w:val="none"/>
          <w:u w:val="single"/>
        </w:rPr>
      </w:pPr>
    </w:p>
    <w:p>
      <w:pPr>
        <w:spacing w:line="500" w:lineRule="exact"/>
        <w:rPr>
          <w:rFonts w:hint="eastAsia" w:ascii="宋体" w:hAnsi="宋体"/>
          <w:color w:val="auto"/>
          <w:szCs w:val="21"/>
          <w:highlight w:val="none"/>
          <w:u w:val="single"/>
        </w:rPr>
      </w:pPr>
    </w:p>
    <w:p>
      <w:pPr>
        <w:spacing w:line="500" w:lineRule="exact"/>
        <w:rPr>
          <w:rFonts w:hint="eastAsia" w:ascii="宋体" w:hAnsi="宋体"/>
          <w:color w:val="auto"/>
          <w:szCs w:val="21"/>
          <w:highlight w:val="none"/>
          <w:u w:val="single"/>
        </w:rPr>
      </w:pPr>
    </w:p>
    <w:p>
      <w:pPr>
        <w:spacing w:line="500" w:lineRule="exact"/>
        <w:rPr>
          <w:rFonts w:hint="eastAsia" w:ascii="宋体" w:hAnsi="宋体"/>
          <w:color w:val="auto"/>
          <w:szCs w:val="21"/>
          <w:highlight w:val="none"/>
          <w:u w:val="single"/>
        </w:rPr>
      </w:pPr>
    </w:p>
    <w:p>
      <w:pPr>
        <w:spacing w:line="500" w:lineRule="exact"/>
        <w:rPr>
          <w:rFonts w:hint="eastAsia" w:ascii="宋体" w:hAnsi="宋体"/>
          <w:color w:val="auto"/>
          <w:szCs w:val="21"/>
          <w:highlight w:val="none"/>
          <w:u w:val="single"/>
        </w:rPr>
      </w:pPr>
    </w:p>
    <w:p>
      <w:pPr>
        <w:spacing w:line="500" w:lineRule="exact"/>
        <w:rPr>
          <w:rFonts w:hint="eastAsia" w:ascii="宋体" w:hAnsi="宋体"/>
          <w:color w:val="auto"/>
          <w:szCs w:val="21"/>
          <w:highlight w:val="none"/>
          <w:u w:val="single"/>
        </w:rPr>
      </w:pPr>
    </w:p>
    <w:p>
      <w:pPr>
        <w:spacing w:line="380" w:lineRule="exact"/>
        <w:ind w:firstLine="3255" w:firstLineChars="1550"/>
        <w:rPr>
          <w:rFonts w:hint="eastAsia" w:ascii="宋体" w:hAnsi="宋体"/>
          <w:color w:val="auto"/>
          <w:szCs w:val="21"/>
          <w:highlight w:val="none"/>
        </w:rPr>
      </w:pPr>
      <w:r>
        <w:rPr>
          <w:rFonts w:hint="eastAsia" w:ascii="宋体" w:hAnsi="宋体"/>
          <w:color w:val="auto"/>
          <w:szCs w:val="21"/>
          <w:highlight w:val="none"/>
        </w:rPr>
        <w:t>投 标 人（全称并加盖公章）：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投标人代表签字：</w:t>
      </w:r>
      <w:r>
        <w:rPr>
          <w:rFonts w:hint="eastAsia" w:ascii="宋体" w:hAnsi="宋体"/>
          <w:color w:val="auto"/>
          <w:szCs w:val="21"/>
          <w:highlight w:val="none"/>
          <w:u w:val="single"/>
        </w:rPr>
        <w:t xml:space="preserve">                            </w:t>
      </w:r>
    </w:p>
    <w:p>
      <w:pPr>
        <w:spacing w:line="380" w:lineRule="exact"/>
        <w:rPr>
          <w:rFonts w:hint="eastAsia" w:ascii="宋体" w:hAnsi="宋体"/>
          <w:b/>
          <w:color w:val="auto"/>
          <w:szCs w:val="21"/>
          <w:highlight w:val="none"/>
        </w:rPr>
      </w:pPr>
      <w:r>
        <w:rPr>
          <w:rFonts w:hint="eastAsia" w:ascii="宋体" w:hAnsi="宋体"/>
          <w:color w:val="auto"/>
          <w:szCs w:val="21"/>
          <w:highlight w:val="none"/>
        </w:rPr>
        <w:t xml:space="preserve">                               日      期：</w:t>
      </w:r>
      <w:r>
        <w:rPr>
          <w:rFonts w:hint="eastAsia" w:ascii="宋体" w:hAnsi="宋体"/>
          <w:color w:val="auto"/>
          <w:szCs w:val="21"/>
          <w:highlight w:val="none"/>
          <w:u w:val="single"/>
        </w:rPr>
        <w:t xml:space="preserve">                                </w:t>
      </w:r>
    </w:p>
    <w:p>
      <w:pPr>
        <w:jc w:val="center"/>
        <w:rPr>
          <w:rFonts w:hint="eastAsia" w:ascii="宋体" w:hAnsi="宋体"/>
          <w:b/>
          <w:color w:val="auto"/>
          <w:szCs w:val="21"/>
          <w:highlight w:val="none"/>
        </w:rPr>
      </w:pPr>
    </w:p>
    <w:p>
      <w:pPr>
        <w:jc w:val="center"/>
        <w:rPr>
          <w:rFonts w:hint="eastAsia" w:ascii="宋体" w:hAnsi="宋体"/>
          <w:b/>
          <w:color w:val="auto"/>
          <w:szCs w:val="21"/>
          <w:highlight w:val="none"/>
        </w:rPr>
      </w:pPr>
    </w:p>
    <w:p>
      <w:pPr>
        <w:jc w:val="center"/>
        <w:rPr>
          <w:rFonts w:hint="eastAsia" w:ascii="宋体" w:hAnsi="宋体"/>
          <w:b/>
          <w:color w:val="auto"/>
          <w:szCs w:val="21"/>
          <w:highlight w:val="none"/>
        </w:rPr>
      </w:pPr>
    </w:p>
    <w:p>
      <w:pPr>
        <w:jc w:val="center"/>
        <w:rPr>
          <w:rFonts w:hint="eastAsia" w:ascii="宋体" w:hAnsi="宋体"/>
          <w:b/>
          <w:color w:val="auto"/>
          <w:szCs w:val="21"/>
          <w:highlight w:val="none"/>
        </w:rPr>
      </w:pPr>
    </w:p>
    <w:p>
      <w:pPr>
        <w:pStyle w:val="18"/>
        <w:rPr>
          <w:rFonts w:hint="eastAsia"/>
          <w:color w:val="auto"/>
          <w:highlight w:val="none"/>
        </w:rPr>
      </w:pPr>
    </w:p>
    <w:p>
      <w:pPr>
        <w:spacing w:before="312" w:beforeLines="100" w:line="380" w:lineRule="exact"/>
        <w:jc w:val="center"/>
        <w:rPr>
          <w:rFonts w:hint="eastAsia" w:ascii="宋体" w:hAnsi="宋体"/>
          <w:color w:val="auto"/>
          <w:szCs w:val="21"/>
          <w:highlight w:val="none"/>
          <w:u w:val="single"/>
        </w:rPr>
      </w:pPr>
      <w:r>
        <w:rPr>
          <w:rFonts w:hint="eastAsia" w:ascii="宋体" w:hAnsi="宋体"/>
          <w:b/>
          <w:color w:val="auto"/>
          <w:sz w:val="32"/>
          <w:szCs w:val="32"/>
          <w:highlight w:val="none"/>
        </w:rPr>
        <w:t>6-8、</w:t>
      </w:r>
      <w:r>
        <w:rPr>
          <w:rFonts w:hint="eastAsia" w:ascii="宋体" w:hAnsi="宋体"/>
          <w:b/>
          <w:color w:val="auto"/>
          <w:sz w:val="32"/>
          <w:szCs w:val="32"/>
          <w:highlight w:val="none"/>
        </w:rPr>
        <w:t>其它</w:t>
      </w:r>
      <w:r>
        <w:rPr>
          <w:rFonts w:hint="eastAsia" w:ascii="宋体" w:hAnsi="宋体"/>
          <w:b/>
          <w:color w:val="auto"/>
          <w:sz w:val="32"/>
          <w:szCs w:val="32"/>
          <w:highlight w:val="none"/>
        </w:rPr>
        <w:t>证照</w:t>
      </w:r>
    </w:p>
    <w:p>
      <w:pPr>
        <w:spacing w:line="380" w:lineRule="exact"/>
        <w:rPr>
          <w:rFonts w:hint="eastAsia" w:ascii="宋体" w:hAnsi="宋体"/>
          <w:color w:val="auto"/>
          <w:szCs w:val="21"/>
          <w:highlight w:val="none"/>
          <w:u w:val="single"/>
        </w:rPr>
      </w:pPr>
    </w:p>
    <w:p>
      <w:pPr>
        <w:spacing w:line="380" w:lineRule="exact"/>
        <w:rPr>
          <w:rFonts w:hint="eastAsia" w:ascii="宋体" w:hAnsi="宋体"/>
          <w:color w:val="auto"/>
          <w:szCs w:val="21"/>
          <w:highlight w:val="none"/>
        </w:rPr>
      </w:pPr>
      <w:r>
        <w:rPr>
          <w:rFonts w:hint="eastAsia" w:ascii="宋体" w:hAnsi="宋体"/>
          <w:color w:val="auto"/>
          <w:szCs w:val="21"/>
          <w:highlight w:val="none"/>
          <w:u w:val="single"/>
          <w:lang w:eastAsia="zh-CN"/>
        </w:rPr>
        <w:t>福建吉瑞招标代理有限公司</w:t>
      </w:r>
      <w:r>
        <w:rPr>
          <w:rFonts w:hint="eastAsia" w:ascii="宋体" w:hAnsi="宋体"/>
          <w:color w:val="auto"/>
          <w:szCs w:val="21"/>
          <w:highlight w:val="none"/>
        </w:rPr>
        <w:t>：</w:t>
      </w:r>
    </w:p>
    <w:p>
      <w:pPr>
        <w:spacing w:line="380" w:lineRule="exact"/>
        <w:rPr>
          <w:rFonts w:hint="eastAsia" w:ascii="宋体" w:hAnsi="宋体"/>
          <w:color w:val="auto"/>
          <w:szCs w:val="21"/>
          <w:highlight w:val="none"/>
        </w:rPr>
      </w:pPr>
    </w:p>
    <w:p>
      <w:pPr>
        <w:ind w:firstLine="420" w:firstLineChars="200"/>
        <w:rPr>
          <w:rFonts w:hint="eastAsia" w:ascii="宋体" w:hAnsi="宋体"/>
          <w:color w:val="auto"/>
          <w:szCs w:val="21"/>
          <w:highlight w:val="none"/>
        </w:rPr>
      </w:pPr>
      <w:r>
        <w:rPr>
          <w:rFonts w:hint="eastAsia" w:ascii="宋体" w:hAnsi="宋体"/>
          <w:color w:val="auto"/>
          <w:szCs w:val="21"/>
          <w:highlight w:val="none"/>
        </w:rPr>
        <w:t>我司投标文件中还提供了下述证件：</w:t>
      </w:r>
    </w:p>
    <w:p>
      <w:pPr>
        <w:ind w:firstLine="420" w:firstLineChars="200"/>
        <w:rPr>
          <w:rFonts w:hint="eastAsia" w:ascii="宋体" w:hAnsi="宋体"/>
          <w:color w:val="auto"/>
          <w:szCs w:val="21"/>
          <w:highlight w:val="none"/>
        </w:rPr>
      </w:pPr>
    </w:p>
    <w:p>
      <w:pPr>
        <w:ind w:firstLine="420" w:firstLineChars="200"/>
        <w:rPr>
          <w:rFonts w:hint="eastAsia" w:ascii="宋体" w:hAnsi="宋体"/>
          <w:color w:val="auto"/>
          <w:szCs w:val="21"/>
          <w:highlight w:val="none"/>
        </w:rPr>
      </w:pPr>
    </w:p>
    <w:p>
      <w:pPr>
        <w:ind w:firstLine="420" w:firstLineChars="200"/>
        <w:rPr>
          <w:rFonts w:hint="eastAsia" w:ascii="宋体" w:hAnsi="宋体"/>
          <w:color w:val="auto"/>
          <w:szCs w:val="21"/>
          <w:highlight w:val="none"/>
        </w:rPr>
      </w:pPr>
      <w:bookmarkStart w:id="22" w:name="_Toc31664"/>
      <w:bookmarkStart w:id="23" w:name="_Toc5448"/>
      <w:r>
        <w:rPr>
          <w:rFonts w:hint="eastAsia" w:ascii="宋体" w:hAnsi="宋体"/>
          <w:color w:val="auto"/>
          <w:szCs w:val="21"/>
          <w:highlight w:val="none"/>
        </w:rPr>
        <w:t>1、</w:t>
      </w:r>
      <w:bookmarkEnd w:id="22"/>
      <w:bookmarkEnd w:id="23"/>
      <w:r>
        <w:rPr>
          <w:rFonts w:hint="eastAsia" w:ascii="宋体" w:hAnsi="宋体"/>
          <w:color w:val="auto"/>
          <w:szCs w:val="21"/>
          <w:highlight w:val="none"/>
        </w:rPr>
        <w:t>投标人为所投产品制造商的应提供《医疗器械生产许可证》复印件，投标人为所投产品经销商的应提供《医疗器械经营许可证》或《食品药品生产经营许可证》或《第二类医疗器械经营备案凭证》复印件（若有）。</w:t>
      </w:r>
    </w:p>
    <w:p>
      <w:pPr>
        <w:ind w:firstLine="420" w:firstLineChars="200"/>
        <w:rPr>
          <w:rFonts w:hint="eastAsia" w:ascii="宋体" w:hAnsi="宋体"/>
          <w:color w:val="auto"/>
          <w:szCs w:val="21"/>
          <w:highlight w:val="none"/>
        </w:rPr>
      </w:pPr>
      <w:bookmarkStart w:id="24" w:name="_Toc4253"/>
      <w:bookmarkStart w:id="25" w:name="_Toc2492"/>
      <w:r>
        <w:rPr>
          <w:rFonts w:hint="eastAsia" w:ascii="宋体" w:hAnsi="宋体"/>
          <w:color w:val="auto"/>
          <w:szCs w:val="21"/>
          <w:highlight w:val="none"/>
        </w:rPr>
        <w:t>2、</w:t>
      </w:r>
      <w:bookmarkEnd w:id="24"/>
      <w:bookmarkEnd w:id="25"/>
      <w:r>
        <w:rPr>
          <w:rFonts w:hint="eastAsia" w:ascii="宋体" w:hAnsi="宋体"/>
          <w:color w:val="auto"/>
          <w:szCs w:val="21"/>
          <w:highlight w:val="none"/>
        </w:rPr>
        <w:t>属于医疗器械管理范围的应提供完整的医疗器械产品注册证及附件（医疗器械产品注册登记表或医疗器械产品生产制造认可表）复印件；所投产品不属于医疗器械管理范围的应提供不属于医疗器械管理范围的说明及相关证明材料。</w:t>
      </w:r>
    </w:p>
    <w:p>
      <w:pPr>
        <w:ind w:firstLine="420" w:firstLineChars="200"/>
        <w:outlineLvl w:val="0"/>
        <w:rPr>
          <w:rFonts w:hint="eastAsia" w:ascii="宋体" w:hAnsi="宋体"/>
          <w:color w:val="auto"/>
          <w:szCs w:val="21"/>
          <w:highlight w:val="none"/>
        </w:rPr>
      </w:pPr>
    </w:p>
    <w:p>
      <w:pPr>
        <w:ind w:firstLine="420" w:firstLineChars="200"/>
        <w:rPr>
          <w:rFonts w:hint="eastAsia" w:ascii="宋体" w:hAnsi="宋体"/>
          <w:color w:val="auto"/>
          <w:szCs w:val="21"/>
          <w:highlight w:val="none"/>
        </w:rPr>
      </w:pPr>
      <w:r>
        <w:rPr>
          <w:rFonts w:ascii="宋体" w:hAnsi="宋体"/>
          <w:color w:val="auto"/>
          <w:szCs w:val="21"/>
          <w:highlight w:val="none"/>
        </w:rPr>
        <w:t>……</w:t>
      </w:r>
    </w:p>
    <w:p>
      <w:pPr>
        <w:ind w:firstLine="420" w:firstLineChars="200"/>
        <w:rPr>
          <w:rFonts w:hint="eastAsia" w:ascii="宋体" w:hAnsi="宋体"/>
          <w:color w:val="auto"/>
          <w:szCs w:val="21"/>
          <w:highlight w:val="none"/>
        </w:rPr>
      </w:pPr>
    </w:p>
    <w:p>
      <w:pPr>
        <w:ind w:firstLine="420" w:firstLineChars="200"/>
        <w:rPr>
          <w:rFonts w:hint="eastAsia" w:ascii="宋体" w:hAnsi="宋体"/>
          <w:color w:val="auto"/>
          <w:szCs w:val="21"/>
          <w:highlight w:val="none"/>
        </w:rPr>
      </w:pPr>
    </w:p>
    <w:p>
      <w:pPr>
        <w:ind w:firstLine="420" w:firstLineChars="200"/>
        <w:rPr>
          <w:rFonts w:hint="eastAsia" w:ascii="宋体" w:hAnsi="宋体"/>
          <w:color w:val="auto"/>
          <w:szCs w:val="21"/>
          <w:highlight w:val="none"/>
        </w:rPr>
      </w:pPr>
    </w:p>
    <w:p>
      <w:pPr>
        <w:ind w:firstLine="420" w:firstLineChars="200"/>
        <w:rPr>
          <w:rFonts w:hint="eastAsia" w:ascii="宋体" w:hAnsi="宋体"/>
          <w:color w:val="auto"/>
          <w:szCs w:val="21"/>
          <w:highlight w:val="none"/>
        </w:rPr>
      </w:pPr>
    </w:p>
    <w:p>
      <w:pPr>
        <w:ind w:firstLine="420" w:firstLineChars="200"/>
        <w:rPr>
          <w:rFonts w:hint="eastAsia" w:ascii="宋体" w:hAnsi="宋体"/>
          <w:color w:val="auto"/>
          <w:szCs w:val="21"/>
          <w:highlight w:val="none"/>
        </w:rPr>
      </w:pPr>
    </w:p>
    <w:p>
      <w:pPr>
        <w:rPr>
          <w:rFonts w:hint="eastAsia" w:ascii="宋体" w:hAnsi="宋体"/>
          <w:color w:val="auto"/>
          <w:szCs w:val="21"/>
          <w:highlight w:val="none"/>
        </w:rPr>
      </w:pPr>
    </w:p>
    <w:p>
      <w:pPr>
        <w:ind w:firstLine="420" w:firstLineChars="200"/>
        <w:rPr>
          <w:rFonts w:hint="eastAsia" w:ascii="宋体" w:hAnsi="宋体"/>
          <w:color w:val="auto"/>
          <w:szCs w:val="21"/>
          <w:highlight w:val="none"/>
        </w:rPr>
      </w:pPr>
    </w:p>
    <w:p>
      <w:pPr>
        <w:ind w:firstLine="420" w:firstLineChars="200"/>
        <w:rPr>
          <w:rFonts w:hint="eastAsia" w:ascii="宋体" w:hAnsi="宋体"/>
          <w:color w:val="auto"/>
          <w:szCs w:val="21"/>
          <w:highlight w:val="none"/>
        </w:rPr>
      </w:pPr>
    </w:p>
    <w:p>
      <w:pPr>
        <w:ind w:firstLine="420" w:firstLineChars="200"/>
        <w:rPr>
          <w:rFonts w:hint="eastAsia" w:ascii="宋体" w:hAnsi="宋体"/>
          <w:color w:val="auto"/>
          <w:szCs w:val="21"/>
          <w:highlight w:val="none"/>
        </w:rPr>
      </w:pPr>
    </w:p>
    <w:p>
      <w:pPr>
        <w:ind w:firstLine="840" w:firstLineChars="400"/>
        <w:rPr>
          <w:rFonts w:hint="eastAsia" w:ascii="宋体" w:hAnsi="宋体"/>
          <w:color w:val="auto"/>
          <w:szCs w:val="21"/>
          <w:highlight w:val="none"/>
        </w:rPr>
      </w:pPr>
      <w:r>
        <w:rPr>
          <w:rFonts w:hint="eastAsia" w:ascii="宋体" w:hAnsi="宋体"/>
          <w:color w:val="auto"/>
          <w:szCs w:val="21"/>
          <w:highlight w:val="none"/>
        </w:rPr>
        <w:t>我</w:t>
      </w:r>
      <w:r>
        <w:rPr>
          <w:rFonts w:hint="eastAsia" w:ascii="宋体" w:hAnsi="宋体"/>
          <w:color w:val="auto"/>
          <w:szCs w:val="21"/>
          <w:highlight w:val="none"/>
        </w:rPr>
        <w:t>司保证</w:t>
      </w:r>
      <w:r>
        <w:rPr>
          <w:rFonts w:hint="eastAsia" w:ascii="宋体" w:hAnsi="宋体"/>
          <w:color w:val="auto"/>
          <w:szCs w:val="21"/>
          <w:highlight w:val="none"/>
        </w:rPr>
        <w:t>上述证照真实,有效。若有需要,可通知我司提供原件校验。</w:t>
      </w:r>
    </w:p>
    <w:p>
      <w:pPr>
        <w:ind w:firstLine="420" w:firstLineChars="200"/>
        <w:rPr>
          <w:rFonts w:hint="eastAsia" w:ascii="宋体" w:hAnsi="宋体"/>
          <w:color w:val="auto"/>
          <w:szCs w:val="21"/>
          <w:highlight w:val="none"/>
        </w:rPr>
      </w:pPr>
    </w:p>
    <w:p>
      <w:pPr>
        <w:ind w:firstLine="420" w:firstLineChars="200"/>
        <w:rPr>
          <w:rFonts w:hint="eastAsia" w:ascii="宋体" w:hAnsi="宋体"/>
          <w:color w:val="auto"/>
          <w:szCs w:val="21"/>
          <w:highlight w:val="none"/>
        </w:rPr>
      </w:pPr>
    </w:p>
    <w:p>
      <w:pPr>
        <w:ind w:firstLine="420" w:firstLineChars="200"/>
        <w:rPr>
          <w:rFonts w:hint="eastAsia" w:ascii="宋体" w:hAnsi="宋体"/>
          <w:color w:val="auto"/>
          <w:szCs w:val="21"/>
          <w:highlight w:val="none"/>
        </w:rPr>
      </w:pPr>
    </w:p>
    <w:p>
      <w:pPr>
        <w:ind w:firstLine="420" w:firstLineChars="200"/>
        <w:rPr>
          <w:rFonts w:hint="eastAsia" w:ascii="宋体" w:hAnsi="宋体"/>
          <w:color w:val="auto"/>
          <w:szCs w:val="21"/>
          <w:highlight w:val="none"/>
        </w:rPr>
      </w:pPr>
    </w:p>
    <w:p>
      <w:pPr>
        <w:ind w:firstLine="420" w:firstLineChars="200"/>
        <w:rPr>
          <w:rFonts w:hint="eastAsia" w:ascii="宋体" w:hAnsi="宋体"/>
          <w:color w:val="auto"/>
          <w:szCs w:val="21"/>
          <w:highlight w:val="none"/>
        </w:rPr>
      </w:pPr>
    </w:p>
    <w:p>
      <w:pPr>
        <w:ind w:firstLine="420" w:firstLineChars="200"/>
        <w:rPr>
          <w:rFonts w:hint="eastAsia" w:ascii="宋体" w:hAnsi="宋体"/>
          <w:color w:val="auto"/>
          <w:szCs w:val="21"/>
          <w:highlight w:val="none"/>
        </w:rPr>
      </w:pPr>
    </w:p>
    <w:p>
      <w:pPr>
        <w:ind w:firstLine="420" w:firstLineChars="200"/>
        <w:rPr>
          <w:rFonts w:hint="eastAsia" w:ascii="宋体" w:hAnsi="宋体"/>
          <w:color w:val="auto"/>
          <w:szCs w:val="21"/>
          <w:highlight w:val="none"/>
        </w:rPr>
      </w:pPr>
    </w:p>
    <w:p>
      <w:pPr>
        <w:ind w:firstLine="420" w:firstLineChars="200"/>
        <w:rPr>
          <w:rFonts w:hint="eastAsia" w:ascii="宋体" w:hAnsi="宋体"/>
          <w:color w:val="auto"/>
          <w:szCs w:val="21"/>
          <w:highlight w:val="none"/>
        </w:rPr>
      </w:pPr>
    </w:p>
    <w:p>
      <w:pPr>
        <w:ind w:firstLine="420" w:firstLineChars="200"/>
        <w:rPr>
          <w:rFonts w:hint="eastAsia" w:ascii="宋体" w:hAnsi="宋体"/>
          <w:color w:val="auto"/>
          <w:szCs w:val="21"/>
          <w:highlight w:val="none"/>
        </w:rPr>
      </w:pPr>
    </w:p>
    <w:p>
      <w:pPr>
        <w:spacing w:line="380" w:lineRule="exact"/>
        <w:ind w:firstLine="3255" w:firstLineChars="1550"/>
        <w:rPr>
          <w:rFonts w:hint="eastAsia" w:ascii="宋体" w:hAnsi="宋体"/>
          <w:color w:val="auto"/>
          <w:szCs w:val="21"/>
          <w:highlight w:val="none"/>
        </w:rPr>
      </w:pPr>
      <w:r>
        <w:rPr>
          <w:rFonts w:hint="eastAsia" w:ascii="宋体" w:hAnsi="宋体"/>
          <w:color w:val="auto"/>
          <w:szCs w:val="21"/>
          <w:highlight w:val="none"/>
        </w:rPr>
        <w:t>投 标 人（全称并加盖公章）：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投标人代表签字：</w:t>
      </w:r>
      <w:r>
        <w:rPr>
          <w:rFonts w:hint="eastAsia" w:ascii="宋体" w:hAnsi="宋体"/>
          <w:color w:val="auto"/>
          <w:szCs w:val="21"/>
          <w:highlight w:val="none"/>
          <w:u w:val="single"/>
        </w:rPr>
        <w:t xml:space="preserve">                            </w:t>
      </w:r>
    </w:p>
    <w:p>
      <w:pPr>
        <w:rPr>
          <w:rFonts w:hint="eastAsia" w:ascii="宋体" w:hAnsi="宋体"/>
          <w:b/>
          <w:color w:val="auto"/>
          <w:sz w:val="36"/>
          <w:highlight w:val="none"/>
        </w:rPr>
      </w:pPr>
    </w:p>
    <w:p>
      <w:pPr>
        <w:ind w:firstLine="309" w:firstLineChars="147"/>
        <w:rPr>
          <w:rFonts w:hint="eastAsia" w:ascii="宋体" w:hAnsi="宋体"/>
          <w:b/>
          <w:color w:val="auto"/>
          <w:highlight w:val="none"/>
        </w:rPr>
      </w:pPr>
    </w:p>
    <w:p>
      <w:pPr>
        <w:ind w:firstLine="309" w:firstLineChars="147"/>
        <w:rPr>
          <w:rFonts w:hint="eastAsia" w:ascii="宋体" w:hAnsi="宋体"/>
          <w:b/>
          <w:color w:val="auto"/>
          <w:highlight w:val="none"/>
        </w:rPr>
      </w:pPr>
      <w:r>
        <w:rPr>
          <w:rFonts w:hint="eastAsia" w:ascii="宋体" w:hAnsi="宋体"/>
          <w:b/>
          <w:color w:val="auto"/>
          <w:highlight w:val="none"/>
        </w:rPr>
        <w:t>注：根据招标文件资格要求提供其它相关证件、材料。</w:t>
      </w:r>
    </w:p>
    <w:p>
      <w:pPr>
        <w:rPr>
          <w:rFonts w:hint="eastAsia"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附件7、</w:t>
      </w:r>
    </w:p>
    <w:p>
      <w:pPr>
        <w:jc w:val="center"/>
        <w:rPr>
          <w:rFonts w:hint="eastAsia" w:ascii="宋体" w:hAnsi="宋体"/>
          <w:b/>
          <w:color w:val="auto"/>
          <w:sz w:val="30"/>
          <w:szCs w:val="30"/>
          <w:highlight w:val="none"/>
        </w:rPr>
      </w:pPr>
      <w:r>
        <w:rPr>
          <w:rFonts w:hint="eastAsia" w:ascii="宋体" w:hAnsi="宋体"/>
          <w:b/>
          <w:color w:val="auto"/>
          <w:sz w:val="30"/>
          <w:szCs w:val="30"/>
          <w:highlight w:val="none"/>
        </w:rPr>
        <w:t xml:space="preserve"> “企业和投标人代表没有行贿犯罪记录”承诺函</w:t>
      </w:r>
    </w:p>
    <w:p>
      <w:pPr>
        <w:spacing w:line="380" w:lineRule="exact"/>
        <w:rPr>
          <w:rFonts w:hint="eastAsia" w:ascii="宋体" w:hAnsi="宋体"/>
          <w:color w:val="auto"/>
          <w:szCs w:val="21"/>
          <w:highlight w:val="none"/>
          <w:u w:val="single"/>
        </w:rPr>
      </w:pPr>
    </w:p>
    <w:p>
      <w:pPr>
        <w:spacing w:line="380" w:lineRule="exact"/>
        <w:rPr>
          <w:rFonts w:hint="eastAsia" w:ascii="宋体" w:hAnsi="宋体"/>
          <w:color w:val="auto"/>
          <w:szCs w:val="21"/>
          <w:highlight w:val="none"/>
          <w:u w:val="single"/>
        </w:rPr>
      </w:pPr>
    </w:p>
    <w:p>
      <w:pPr>
        <w:spacing w:line="380" w:lineRule="exact"/>
        <w:rPr>
          <w:rFonts w:hint="eastAsia" w:ascii="宋体" w:hAnsi="宋体"/>
          <w:color w:val="auto"/>
          <w:szCs w:val="21"/>
          <w:highlight w:val="none"/>
          <w:u w:val="single"/>
        </w:rPr>
      </w:pPr>
    </w:p>
    <w:p>
      <w:pPr>
        <w:spacing w:line="380" w:lineRule="exact"/>
        <w:rPr>
          <w:rFonts w:hint="eastAsia"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lang w:eastAsia="zh-CN"/>
        </w:rPr>
        <w:t>福建吉瑞招标代理有限公司</w:t>
      </w:r>
      <w:r>
        <w:rPr>
          <w:rFonts w:hint="eastAsia" w:ascii="宋体" w:hAnsi="宋体"/>
          <w:color w:val="auto"/>
          <w:szCs w:val="21"/>
          <w:highlight w:val="none"/>
        </w:rPr>
        <w:t>：</w:t>
      </w:r>
    </w:p>
    <w:p>
      <w:pPr>
        <w:rPr>
          <w:rFonts w:hint="eastAsia" w:ascii="宋体" w:hAnsi="宋体"/>
          <w:b/>
          <w:color w:val="auto"/>
          <w:sz w:val="36"/>
          <w:highlight w:val="none"/>
        </w:rPr>
      </w:pPr>
      <w:r>
        <w:rPr>
          <w:rFonts w:hint="eastAsia" w:ascii="宋体" w:hAnsi="宋体"/>
          <w:b/>
          <w:color w:val="auto"/>
          <w:sz w:val="36"/>
          <w:highlight w:val="none"/>
        </w:rPr>
        <w:t xml:space="preserve">   </w:t>
      </w:r>
    </w:p>
    <w:p>
      <w:pPr>
        <w:spacing w:line="500" w:lineRule="exact"/>
        <w:ind w:firstLine="411" w:firstLineChars="196"/>
        <w:rPr>
          <w:rFonts w:hint="eastAsia" w:ascii="宋体" w:hAnsi="宋体"/>
          <w:color w:val="auto"/>
          <w:szCs w:val="21"/>
          <w:highlight w:val="none"/>
        </w:rPr>
      </w:pPr>
      <w:r>
        <w:rPr>
          <w:rFonts w:hint="eastAsia" w:ascii="宋体" w:hAnsi="宋体"/>
          <w:color w:val="auto"/>
          <w:szCs w:val="21"/>
          <w:highlight w:val="none"/>
        </w:rPr>
        <w:t>我方参与贵公司组织的</w:t>
      </w:r>
      <w:r>
        <w:rPr>
          <w:rFonts w:ascii="宋体" w:hAnsi="宋体"/>
          <w:color w:val="auto"/>
          <w:szCs w:val="21"/>
          <w:highlight w:val="none"/>
          <w:u w:val="single"/>
        </w:rPr>
        <w:t xml:space="preserve">                           </w:t>
      </w:r>
      <w:r>
        <w:rPr>
          <w:rFonts w:hint="eastAsia" w:ascii="宋体" w:hAnsi="宋体"/>
          <w:color w:val="auto"/>
          <w:szCs w:val="21"/>
          <w:highlight w:val="none"/>
        </w:rPr>
        <w:t>项目招标中投标（项目编号：</w:t>
      </w:r>
      <w:r>
        <w:rPr>
          <w:rFonts w:ascii="宋体" w:hAnsi="宋体"/>
          <w:color w:val="auto"/>
          <w:szCs w:val="21"/>
          <w:highlight w:val="none"/>
          <w:u w:val="single"/>
        </w:rPr>
        <w:t xml:space="preserve">          </w:t>
      </w:r>
      <w:r>
        <w:rPr>
          <w:rFonts w:hint="eastAsia" w:ascii="宋体" w:hAnsi="宋体"/>
          <w:color w:val="auto"/>
          <w:szCs w:val="21"/>
          <w:highlight w:val="none"/>
        </w:rPr>
        <w:t>），现特别承诺如下：</w:t>
      </w:r>
    </w:p>
    <w:p>
      <w:pPr>
        <w:spacing w:line="500" w:lineRule="exact"/>
        <w:ind w:firstLine="315" w:firstLineChars="150"/>
        <w:rPr>
          <w:rFonts w:hint="eastAsia" w:ascii="宋体" w:hAnsi="宋体"/>
          <w:b w:val="0"/>
          <w:bCs w:val="0"/>
          <w:color w:val="auto"/>
          <w:szCs w:val="21"/>
          <w:highlight w:val="none"/>
        </w:rPr>
      </w:pPr>
      <w:r>
        <w:rPr>
          <w:rFonts w:hint="eastAsia" w:ascii="宋体" w:hAnsi="宋体"/>
          <w:b w:val="0"/>
          <w:bCs w:val="0"/>
          <w:color w:val="auto"/>
          <w:szCs w:val="21"/>
          <w:highlight w:val="none"/>
        </w:rPr>
        <w:t>本公司和投标人代表没有行贿犯罪记录。</w:t>
      </w:r>
    </w:p>
    <w:p>
      <w:pPr>
        <w:spacing w:line="500" w:lineRule="exact"/>
        <w:ind w:firstLine="3885" w:firstLineChars="1850"/>
        <w:rPr>
          <w:rFonts w:hint="eastAsia" w:ascii="宋体" w:hAnsi="宋体"/>
          <w:color w:val="auto"/>
          <w:szCs w:val="21"/>
          <w:highlight w:val="none"/>
        </w:rPr>
      </w:pPr>
    </w:p>
    <w:p>
      <w:pPr>
        <w:spacing w:line="380" w:lineRule="exact"/>
        <w:ind w:firstLine="3885" w:firstLineChars="1850"/>
        <w:rPr>
          <w:rFonts w:hint="eastAsia" w:ascii="宋体" w:hAnsi="宋体"/>
          <w:color w:val="auto"/>
          <w:szCs w:val="21"/>
          <w:highlight w:val="none"/>
        </w:rPr>
      </w:pPr>
    </w:p>
    <w:p>
      <w:pPr>
        <w:spacing w:line="380" w:lineRule="exact"/>
        <w:ind w:firstLine="3885" w:firstLineChars="1850"/>
        <w:rPr>
          <w:rFonts w:hint="eastAsia" w:ascii="宋体" w:hAnsi="宋体"/>
          <w:color w:val="auto"/>
          <w:szCs w:val="21"/>
          <w:highlight w:val="none"/>
        </w:rPr>
      </w:pPr>
    </w:p>
    <w:p>
      <w:pPr>
        <w:spacing w:line="380" w:lineRule="exact"/>
        <w:ind w:firstLine="3885" w:firstLineChars="1850"/>
        <w:rPr>
          <w:rFonts w:hint="eastAsia" w:ascii="宋体" w:hAnsi="宋体"/>
          <w:color w:val="auto"/>
          <w:szCs w:val="21"/>
          <w:highlight w:val="none"/>
        </w:rPr>
      </w:pPr>
    </w:p>
    <w:p>
      <w:pPr>
        <w:spacing w:line="380" w:lineRule="exact"/>
        <w:ind w:firstLine="3885" w:firstLineChars="1850"/>
        <w:rPr>
          <w:rFonts w:hint="eastAsia" w:ascii="宋体" w:hAnsi="宋体"/>
          <w:color w:val="auto"/>
          <w:szCs w:val="21"/>
          <w:highlight w:val="none"/>
        </w:rPr>
      </w:pPr>
      <w:r>
        <w:rPr>
          <w:rFonts w:hint="eastAsia" w:ascii="宋体" w:hAnsi="宋体"/>
          <w:color w:val="auto"/>
          <w:szCs w:val="21"/>
          <w:highlight w:val="none"/>
        </w:rPr>
        <w:t>投 标 人（全称并加盖公章）：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投标人代表签字：</w:t>
      </w:r>
      <w:r>
        <w:rPr>
          <w:rFonts w:hint="eastAsia" w:ascii="宋体" w:hAnsi="宋体"/>
          <w:color w:val="auto"/>
          <w:szCs w:val="21"/>
          <w:highlight w:val="none"/>
          <w:u w:val="single"/>
        </w:rPr>
        <w:t xml:space="preserve">                            </w:t>
      </w:r>
    </w:p>
    <w:p>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日      期：</w:t>
      </w:r>
      <w:r>
        <w:rPr>
          <w:rFonts w:hint="eastAsia" w:ascii="宋体" w:hAnsi="宋体"/>
          <w:color w:val="auto"/>
          <w:szCs w:val="21"/>
          <w:highlight w:val="none"/>
          <w:u w:val="single"/>
        </w:rPr>
        <w:t xml:space="preserve">                                </w:t>
      </w:r>
    </w:p>
    <w:p>
      <w:pPr>
        <w:spacing w:line="400" w:lineRule="exact"/>
        <w:rPr>
          <w:rFonts w:hint="eastAsia" w:ascii="宋体" w:hAnsi="宋体"/>
          <w:b/>
          <w:color w:val="auto"/>
          <w:sz w:val="30"/>
          <w:szCs w:val="30"/>
          <w:highlight w:val="none"/>
        </w:rPr>
      </w:pPr>
      <w:r>
        <w:rPr>
          <w:rFonts w:ascii="宋体" w:hAnsi="宋体"/>
          <w:b/>
          <w:color w:val="auto"/>
          <w:sz w:val="36"/>
          <w:highlight w:val="none"/>
        </w:rPr>
        <w:br w:type="page"/>
      </w:r>
      <w:r>
        <w:rPr>
          <w:rFonts w:hint="eastAsia" w:ascii="宋体" w:hAnsi="宋体"/>
          <w:color w:val="auto"/>
          <w:szCs w:val="21"/>
          <w:highlight w:val="none"/>
        </w:rPr>
        <w:t>附件8、</w:t>
      </w:r>
    </w:p>
    <w:p>
      <w:pPr>
        <w:spacing w:line="400" w:lineRule="exact"/>
        <w:jc w:val="center"/>
        <w:rPr>
          <w:rFonts w:ascii="宋体" w:hAnsi="宋体" w:cs="宋体"/>
          <w:color w:val="auto"/>
          <w:sz w:val="28"/>
          <w:szCs w:val="28"/>
          <w:highlight w:val="none"/>
        </w:rPr>
      </w:pPr>
      <w:r>
        <w:rPr>
          <w:rFonts w:hint="eastAsia" w:ascii="宋体" w:hAnsi="宋体"/>
          <w:b/>
          <w:color w:val="auto"/>
          <w:sz w:val="30"/>
          <w:szCs w:val="30"/>
          <w:highlight w:val="none"/>
        </w:rPr>
        <w:t>8-1、法定代表人身份证明</w:t>
      </w:r>
    </w:p>
    <w:p>
      <w:pPr>
        <w:spacing w:line="400" w:lineRule="exact"/>
        <w:jc w:val="center"/>
        <w:rPr>
          <w:bCs/>
          <w:color w:val="auto"/>
          <w:sz w:val="28"/>
          <w:szCs w:val="28"/>
          <w:highlight w:val="none"/>
        </w:rPr>
      </w:pPr>
    </w:p>
    <w:p>
      <w:pPr>
        <w:spacing w:line="400" w:lineRule="exact"/>
        <w:jc w:val="center"/>
        <w:rPr>
          <w:bCs/>
          <w:color w:val="auto"/>
          <w:sz w:val="28"/>
          <w:szCs w:val="28"/>
          <w:highlight w:val="none"/>
        </w:rPr>
      </w:pPr>
    </w:p>
    <w:p>
      <w:pPr>
        <w:topLinePunct/>
        <w:spacing w:line="360" w:lineRule="exact"/>
        <w:rPr>
          <w:bCs/>
          <w:color w:val="auto"/>
          <w:szCs w:val="21"/>
          <w:highlight w:val="none"/>
          <w:u w:val="single"/>
        </w:rPr>
      </w:pPr>
      <w:r>
        <w:rPr>
          <w:rFonts w:hint="eastAsia"/>
          <w:bCs/>
          <w:color w:val="auto"/>
          <w:szCs w:val="21"/>
          <w:highlight w:val="none"/>
        </w:rPr>
        <w:t>投标</w:t>
      </w:r>
      <w:r>
        <w:rPr>
          <w:bCs/>
          <w:color w:val="auto"/>
          <w:szCs w:val="21"/>
          <w:highlight w:val="none"/>
        </w:rPr>
        <w:t>人名称：</w:t>
      </w:r>
      <w:r>
        <w:rPr>
          <w:bCs/>
          <w:color w:val="auto"/>
          <w:szCs w:val="21"/>
          <w:highlight w:val="none"/>
          <w:u w:val="single"/>
        </w:rPr>
        <w:t xml:space="preserve">                         </w:t>
      </w:r>
    </w:p>
    <w:p>
      <w:pPr>
        <w:topLinePunct/>
        <w:spacing w:line="360" w:lineRule="exact"/>
        <w:rPr>
          <w:bCs/>
          <w:color w:val="auto"/>
          <w:szCs w:val="21"/>
          <w:highlight w:val="none"/>
        </w:rPr>
      </w:pPr>
      <w:r>
        <w:rPr>
          <w:bCs/>
          <w:color w:val="auto"/>
          <w:szCs w:val="21"/>
          <w:highlight w:val="none"/>
        </w:rPr>
        <w:t>单位性质：</w:t>
      </w:r>
      <w:r>
        <w:rPr>
          <w:bCs/>
          <w:color w:val="auto"/>
          <w:szCs w:val="21"/>
          <w:highlight w:val="none"/>
          <w:u w:val="single"/>
        </w:rPr>
        <w:t xml:space="preserve">                           </w:t>
      </w:r>
    </w:p>
    <w:p>
      <w:pPr>
        <w:topLinePunct/>
        <w:spacing w:line="360" w:lineRule="exact"/>
        <w:rPr>
          <w:bCs/>
          <w:color w:val="auto"/>
          <w:szCs w:val="21"/>
          <w:highlight w:val="none"/>
        </w:rPr>
      </w:pPr>
      <w:r>
        <w:rPr>
          <w:bCs/>
          <w:color w:val="auto"/>
          <w:szCs w:val="21"/>
          <w:highlight w:val="none"/>
        </w:rPr>
        <w:t>成立时间：</w:t>
      </w:r>
      <w:r>
        <w:rPr>
          <w:bCs/>
          <w:color w:val="auto"/>
          <w:szCs w:val="21"/>
          <w:highlight w:val="none"/>
          <w:u w:val="single"/>
        </w:rPr>
        <w:t xml:space="preserve">       </w:t>
      </w:r>
      <w:r>
        <w:rPr>
          <w:bCs/>
          <w:color w:val="auto"/>
          <w:szCs w:val="21"/>
          <w:highlight w:val="none"/>
        </w:rPr>
        <w:t>年</w:t>
      </w:r>
      <w:r>
        <w:rPr>
          <w:bCs/>
          <w:color w:val="auto"/>
          <w:szCs w:val="21"/>
          <w:highlight w:val="none"/>
          <w:u w:val="single"/>
        </w:rPr>
        <w:t xml:space="preserve">       </w:t>
      </w:r>
      <w:r>
        <w:rPr>
          <w:bCs/>
          <w:color w:val="auto"/>
          <w:szCs w:val="21"/>
          <w:highlight w:val="none"/>
        </w:rPr>
        <w:t>月</w:t>
      </w:r>
      <w:r>
        <w:rPr>
          <w:bCs/>
          <w:color w:val="auto"/>
          <w:szCs w:val="21"/>
          <w:highlight w:val="none"/>
          <w:u w:val="single"/>
        </w:rPr>
        <w:t xml:space="preserve">       </w:t>
      </w:r>
      <w:r>
        <w:rPr>
          <w:bCs/>
          <w:color w:val="auto"/>
          <w:szCs w:val="21"/>
          <w:highlight w:val="none"/>
        </w:rPr>
        <w:t>日</w:t>
      </w:r>
    </w:p>
    <w:p>
      <w:pPr>
        <w:topLinePunct/>
        <w:spacing w:line="360" w:lineRule="exact"/>
        <w:rPr>
          <w:bCs/>
          <w:color w:val="auto"/>
          <w:szCs w:val="21"/>
          <w:highlight w:val="none"/>
        </w:rPr>
      </w:pPr>
      <w:r>
        <w:rPr>
          <w:bCs/>
          <w:color w:val="auto"/>
          <w:szCs w:val="21"/>
          <w:highlight w:val="none"/>
        </w:rPr>
        <w:t>经营期限：</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p>
    <w:p>
      <w:pPr>
        <w:topLinePunct/>
        <w:spacing w:line="360" w:lineRule="exact"/>
        <w:rPr>
          <w:bCs/>
          <w:color w:val="auto"/>
          <w:szCs w:val="21"/>
          <w:highlight w:val="none"/>
          <w:u w:val="single"/>
        </w:rPr>
      </w:pPr>
      <w:r>
        <w:rPr>
          <w:bCs/>
          <w:color w:val="auto"/>
          <w:szCs w:val="21"/>
          <w:highlight w:val="none"/>
        </w:rPr>
        <w:t>姓名：</w:t>
      </w:r>
      <w:r>
        <w:rPr>
          <w:bCs/>
          <w:color w:val="auto"/>
          <w:szCs w:val="21"/>
          <w:highlight w:val="none"/>
          <w:u w:val="single"/>
        </w:rPr>
        <w:t xml:space="preserve">         </w:t>
      </w:r>
      <w:r>
        <w:rPr>
          <w:bCs/>
          <w:color w:val="auto"/>
          <w:szCs w:val="21"/>
          <w:highlight w:val="none"/>
        </w:rPr>
        <w:t>性别：</w:t>
      </w:r>
      <w:r>
        <w:rPr>
          <w:bCs/>
          <w:color w:val="auto"/>
          <w:szCs w:val="21"/>
          <w:highlight w:val="none"/>
          <w:u w:val="single"/>
        </w:rPr>
        <w:t xml:space="preserve">          </w:t>
      </w:r>
      <w:r>
        <w:rPr>
          <w:bCs/>
          <w:color w:val="auto"/>
          <w:szCs w:val="21"/>
          <w:highlight w:val="none"/>
        </w:rPr>
        <w:t>年龄：</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rPr>
        <w:t>职务：</w:t>
      </w:r>
      <w:r>
        <w:rPr>
          <w:bCs/>
          <w:color w:val="auto"/>
          <w:szCs w:val="21"/>
          <w:highlight w:val="none"/>
          <w:u w:val="single"/>
        </w:rPr>
        <w:t xml:space="preserve">        </w:t>
      </w:r>
      <w:r>
        <w:rPr>
          <w:rFonts w:hint="eastAsia"/>
          <w:bCs/>
          <w:color w:val="auto"/>
          <w:szCs w:val="21"/>
          <w:highlight w:val="none"/>
          <w:u w:val="single"/>
        </w:rPr>
        <w:t xml:space="preserve"> </w:t>
      </w:r>
    </w:p>
    <w:p>
      <w:pPr>
        <w:topLinePunct/>
        <w:spacing w:line="360" w:lineRule="exact"/>
        <w:rPr>
          <w:bCs/>
          <w:color w:val="auto"/>
          <w:szCs w:val="21"/>
          <w:highlight w:val="none"/>
          <w:u w:val="single"/>
        </w:rPr>
      </w:pPr>
      <w:r>
        <w:rPr>
          <w:rFonts w:hint="eastAsia" w:ascii="宋体" w:hAnsi="宋体"/>
          <w:color w:val="auto"/>
          <w:highlight w:val="none"/>
        </w:rPr>
        <w:t>身份证号：</w:t>
      </w:r>
      <w:r>
        <w:rPr>
          <w:rFonts w:ascii="宋体" w:hAnsi="宋体"/>
          <w:color w:val="auto"/>
          <w:highlight w:val="none"/>
          <w:u w:val="single"/>
        </w:rPr>
        <w:t xml:space="preserve">   </w:t>
      </w:r>
      <w:r>
        <w:rPr>
          <w:rFonts w:hint="eastAsia" w:ascii="宋体" w:hAnsi="宋体"/>
          <w:color w:val="auto"/>
          <w:highlight w:val="none"/>
          <w:u w:val="single"/>
        </w:rPr>
        <w:t xml:space="preserve">                                                </w:t>
      </w:r>
    </w:p>
    <w:p>
      <w:pPr>
        <w:topLinePunct/>
        <w:spacing w:line="360" w:lineRule="exact"/>
        <w:rPr>
          <w:bCs/>
          <w:color w:val="auto"/>
          <w:szCs w:val="21"/>
          <w:highlight w:val="none"/>
        </w:rPr>
      </w:pPr>
      <w:r>
        <w:rPr>
          <w:bCs/>
          <w:color w:val="auto"/>
          <w:szCs w:val="21"/>
          <w:highlight w:val="none"/>
        </w:rPr>
        <w:t>系</w:t>
      </w:r>
      <w:r>
        <w:rPr>
          <w:bCs/>
          <w:color w:val="auto"/>
          <w:szCs w:val="21"/>
          <w:highlight w:val="none"/>
          <w:u w:val="single"/>
        </w:rPr>
        <w:t xml:space="preserve">                   </w:t>
      </w:r>
      <w:r>
        <w:rPr>
          <w:rFonts w:hint="eastAsia"/>
          <w:bCs/>
          <w:color w:val="auto"/>
          <w:szCs w:val="21"/>
          <w:highlight w:val="none"/>
        </w:rPr>
        <w:t>（投标</w:t>
      </w:r>
      <w:r>
        <w:rPr>
          <w:bCs/>
          <w:color w:val="auto"/>
          <w:szCs w:val="21"/>
          <w:highlight w:val="none"/>
        </w:rPr>
        <w:t>人名称</w:t>
      </w:r>
      <w:r>
        <w:rPr>
          <w:rFonts w:hint="eastAsia"/>
          <w:bCs/>
          <w:color w:val="auto"/>
          <w:szCs w:val="21"/>
          <w:highlight w:val="none"/>
        </w:rPr>
        <w:t>）</w:t>
      </w:r>
      <w:r>
        <w:rPr>
          <w:bCs/>
          <w:color w:val="auto"/>
          <w:szCs w:val="21"/>
          <w:highlight w:val="none"/>
        </w:rPr>
        <w:t>的法定代表人。</w:t>
      </w:r>
    </w:p>
    <w:p>
      <w:pPr>
        <w:topLinePunct/>
        <w:spacing w:line="360" w:lineRule="exact"/>
        <w:ind w:firstLine="420" w:firstLineChars="200"/>
        <w:rPr>
          <w:bCs/>
          <w:color w:val="auto"/>
          <w:szCs w:val="21"/>
          <w:highlight w:val="none"/>
        </w:rPr>
      </w:pPr>
      <w:r>
        <w:rPr>
          <w:bCs/>
          <w:color w:val="auto"/>
          <w:szCs w:val="21"/>
          <w:highlight w:val="none"/>
        </w:rPr>
        <w:t>特此证明。</w:t>
      </w:r>
    </w:p>
    <w:p>
      <w:pPr>
        <w:topLinePunct/>
        <w:spacing w:line="360" w:lineRule="exact"/>
        <w:rPr>
          <w:bCs/>
          <w:color w:val="auto"/>
          <w:szCs w:val="21"/>
          <w:highlight w:val="none"/>
        </w:rPr>
      </w:pPr>
    </w:p>
    <w:p>
      <w:pPr>
        <w:topLinePunct/>
        <w:spacing w:line="360" w:lineRule="exact"/>
        <w:ind w:left="2520" w:hanging="2520" w:hangingChars="1200"/>
        <w:rPr>
          <w:bCs/>
          <w:color w:val="auto"/>
          <w:szCs w:val="21"/>
          <w:highlight w:val="none"/>
        </w:rPr>
      </w:pPr>
      <w:r>
        <w:rPr>
          <w:bCs/>
          <w:color w:val="auto"/>
          <w:szCs w:val="21"/>
          <w:highlight w:val="none"/>
        </w:rPr>
        <w:t xml:space="preserve">                        </w:t>
      </w:r>
      <w:r>
        <w:rPr>
          <w:rFonts w:hint="eastAsia"/>
          <w:bCs/>
          <w:color w:val="auto"/>
          <w:szCs w:val="21"/>
          <w:highlight w:val="none"/>
        </w:rPr>
        <w:t>投标</w:t>
      </w:r>
      <w:r>
        <w:rPr>
          <w:bCs/>
          <w:color w:val="auto"/>
          <w:szCs w:val="21"/>
          <w:highlight w:val="none"/>
        </w:rPr>
        <w:t>人：</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r>
        <w:rPr>
          <w:rFonts w:hint="eastAsia"/>
          <w:color w:val="auto"/>
          <w:highlight w:val="none"/>
          <w:u w:val="single"/>
        </w:rPr>
        <w:t xml:space="preserve">（全称并加盖公章）   </w:t>
      </w:r>
      <w:r>
        <w:rPr>
          <w:bCs/>
          <w:color w:val="auto"/>
          <w:szCs w:val="21"/>
          <w:highlight w:val="none"/>
        </w:rPr>
        <w:t xml:space="preserve"> </w:t>
      </w:r>
    </w:p>
    <w:p>
      <w:pPr>
        <w:topLinePunct/>
        <w:spacing w:line="360" w:lineRule="exact"/>
        <w:ind w:left="2520" w:leftChars="1200"/>
        <w:rPr>
          <w:rFonts w:hint="eastAsia" w:eastAsia="宋体"/>
          <w:bCs/>
          <w:color w:val="auto"/>
          <w:szCs w:val="21"/>
          <w:highlight w:val="none"/>
          <w:lang w:eastAsia="zh-CN"/>
        </w:rPr>
      </w:pPr>
      <w:r>
        <w:rPr>
          <w:rFonts w:hint="eastAsia" w:ascii="宋体" w:hAnsi="宋体"/>
          <w:color w:val="auto"/>
          <w:highlight w:val="none"/>
        </w:rPr>
        <w:t>日  期：</w:t>
      </w:r>
      <w:r>
        <w:rPr>
          <w:bCs/>
          <w:color w:val="auto"/>
          <w:szCs w:val="21"/>
          <w:highlight w:val="none"/>
        </w:rPr>
        <w:t xml:space="preserve"> </w:t>
      </w:r>
      <w:r>
        <w:rPr>
          <w:bCs/>
          <w:color w:val="auto"/>
          <w:szCs w:val="21"/>
          <w:highlight w:val="none"/>
          <w:u w:val="single"/>
        </w:rPr>
        <w:t xml:space="preserve">        </w:t>
      </w:r>
      <w:r>
        <w:rPr>
          <w:bCs/>
          <w:color w:val="auto"/>
          <w:szCs w:val="21"/>
          <w:highlight w:val="none"/>
        </w:rPr>
        <w:t>年</w:t>
      </w:r>
      <w:r>
        <w:rPr>
          <w:bCs/>
          <w:color w:val="auto"/>
          <w:szCs w:val="21"/>
          <w:highlight w:val="none"/>
          <w:u w:val="single"/>
        </w:rPr>
        <w:t xml:space="preserve">        </w:t>
      </w:r>
      <w:r>
        <w:rPr>
          <w:bCs/>
          <w:color w:val="auto"/>
          <w:szCs w:val="21"/>
          <w:highlight w:val="none"/>
        </w:rPr>
        <w:t>月</w:t>
      </w:r>
      <w:r>
        <w:rPr>
          <w:bCs/>
          <w:color w:val="auto"/>
          <w:szCs w:val="21"/>
          <w:highlight w:val="none"/>
          <w:u w:val="single"/>
        </w:rPr>
        <w:t xml:space="preserve">        </w:t>
      </w:r>
      <w:r>
        <w:rPr>
          <w:bCs/>
          <w:color w:val="auto"/>
          <w:szCs w:val="21"/>
          <w:highlight w:val="none"/>
        </w:rPr>
        <w:t>日</w:t>
      </w:r>
    </w:p>
    <w:p>
      <w:pPr>
        <w:pStyle w:val="3"/>
        <w:rPr>
          <w:rFonts w:hint="eastAsia"/>
          <w:color w:val="auto"/>
          <w:highlight w:val="none"/>
          <w:lang w:eastAsia="zh-CN"/>
        </w:rPr>
      </w:pPr>
    </w:p>
    <w:p>
      <w:pPr>
        <w:topLinePunct/>
        <w:spacing w:line="360" w:lineRule="exact"/>
        <w:ind w:left="2520" w:leftChars="1200"/>
        <w:rPr>
          <w:rFonts w:hAnsi="宋体"/>
          <w:color w:val="auto"/>
          <w:sz w:val="30"/>
          <w:szCs w:val="30"/>
          <w:highlight w:val="none"/>
        </w:rPr>
      </w:pPr>
    </w:p>
    <w:p>
      <w:pPr>
        <w:spacing w:line="380" w:lineRule="exact"/>
        <w:rPr>
          <w:rFonts w:ascii="宋体" w:hAnsi="宋体"/>
          <w:color w:val="auto"/>
          <w:szCs w:val="21"/>
          <w:highlight w:val="none"/>
        </w:rPr>
      </w:pPr>
    </w:p>
    <w:p>
      <w:pPr>
        <w:spacing w:line="380" w:lineRule="exact"/>
        <w:rPr>
          <w:rFonts w:ascii="宋体" w:hAnsi="宋体"/>
          <w:color w:val="auto"/>
          <w:szCs w:val="21"/>
          <w:highlight w:val="none"/>
        </w:rPr>
      </w:pPr>
    </w:p>
    <w:p>
      <w:pPr>
        <w:topLinePunct/>
        <w:spacing w:line="360" w:lineRule="exact"/>
        <w:ind w:left="2520" w:leftChars="1200"/>
        <w:rPr>
          <w:rFonts w:hAnsi="宋体"/>
          <w:color w:val="auto"/>
          <w:sz w:val="30"/>
          <w:szCs w:val="30"/>
          <w:highlight w:val="none"/>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23" w:hRule="atLeast"/>
        </w:trPr>
        <w:tc>
          <w:tcPr>
            <w:tcW w:w="5000" w:type="pct"/>
            <w:noWrap w:val="0"/>
            <w:vAlign w:val="top"/>
          </w:tcPr>
          <w:p>
            <w:pPr>
              <w:spacing w:line="380" w:lineRule="exact"/>
              <w:rPr>
                <w:rFonts w:ascii="宋体" w:hAnsi="宋体"/>
                <w:color w:val="auto"/>
                <w:szCs w:val="21"/>
                <w:highlight w:val="none"/>
              </w:rPr>
            </w:pPr>
            <w:r>
              <w:rPr>
                <w:rFonts w:hint="eastAsia" w:ascii="宋体" w:hAnsi="宋体"/>
                <w:color w:val="auto"/>
                <w:szCs w:val="21"/>
                <w:highlight w:val="none"/>
              </w:rPr>
              <w:t>法定代表人身份证件复印件</w:t>
            </w:r>
          </w:p>
          <w:p>
            <w:pPr>
              <w:topLinePunct/>
              <w:spacing w:line="360" w:lineRule="exact"/>
              <w:rPr>
                <w:rFonts w:hAnsi="宋体"/>
                <w:color w:val="auto"/>
                <w:sz w:val="30"/>
                <w:szCs w:val="30"/>
                <w:highlight w:val="none"/>
              </w:rPr>
            </w:pPr>
          </w:p>
        </w:tc>
      </w:tr>
    </w:tbl>
    <w:p>
      <w:pPr>
        <w:topLinePunct/>
        <w:spacing w:line="360" w:lineRule="exact"/>
        <w:ind w:left="2520" w:leftChars="1200"/>
        <w:rPr>
          <w:rFonts w:hAnsi="宋体"/>
          <w:color w:val="auto"/>
          <w:sz w:val="30"/>
          <w:szCs w:val="30"/>
          <w:highlight w:val="none"/>
        </w:rPr>
      </w:pPr>
    </w:p>
    <w:p>
      <w:pPr>
        <w:pStyle w:val="22"/>
        <w:rPr>
          <w:rFonts w:hAnsi="宋体"/>
          <w:color w:val="auto"/>
          <w:sz w:val="21"/>
          <w:szCs w:val="21"/>
          <w:highlight w:val="none"/>
        </w:rPr>
      </w:pPr>
      <w:bookmarkStart w:id="26" w:name="_Toc18991"/>
      <w:bookmarkStart w:id="27" w:name="_Toc24620"/>
      <w:bookmarkStart w:id="28" w:name="_Toc30525"/>
      <w:r>
        <w:rPr>
          <w:rFonts w:hAnsi="宋体"/>
          <w:color w:val="auto"/>
          <w:sz w:val="21"/>
          <w:szCs w:val="21"/>
          <w:highlight w:val="none"/>
        </w:rPr>
        <w:t>注：投标代表为法人的提供此件，表8-1与表8-2无需同时提供。</w:t>
      </w:r>
      <w:bookmarkEnd w:id="26"/>
      <w:bookmarkEnd w:id="27"/>
      <w:bookmarkEnd w:id="28"/>
    </w:p>
    <w:p>
      <w:pPr>
        <w:pStyle w:val="22"/>
        <w:outlineLvl w:val="9"/>
        <w:rPr>
          <w:rFonts w:hAnsi="宋体"/>
          <w:color w:val="auto"/>
          <w:sz w:val="21"/>
          <w:szCs w:val="21"/>
          <w:highlight w:val="none"/>
        </w:rPr>
      </w:pPr>
    </w:p>
    <w:p>
      <w:pPr>
        <w:pStyle w:val="22"/>
        <w:outlineLvl w:val="9"/>
        <w:rPr>
          <w:rFonts w:hAnsi="宋体"/>
          <w:color w:val="auto"/>
          <w:sz w:val="21"/>
          <w:szCs w:val="21"/>
          <w:highlight w:val="none"/>
        </w:rPr>
      </w:pPr>
    </w:p>
    <w:p>
      <w:pPr>
        <w:pStyle w:val="22"/>
        <w:outlineLvl w:val="9"/>
        <w:rPr>
          <w:rFonts w:hAnsi="宋体"/>
          <w:color w:val="auto"/>
          <w:sz w:val="21"/>
          <w:szCs w:val="21"/>
          <w:highlight w:val="none"/>
        </w:rPr>
      </w:pPr>
    </w:p>
    <w:p>
      <w:pPr>
        <w:pStyle w:val="22"/>
        <w:outlineLvl w:val="9"/>
        <w:rPr>
          <w:rFonts w:hAnsi="宋体"/>
          <w:color w:val="auto"/>
          <w:sz w:val="21"/>
          <w:szCs w:val="21"/>
          <w:highlight w:val="none"/>
        </w:rPr>
      </w:pPr>
    </w:p>
    <w:p>
      <w:pPr>
        <w:pStyle w:val="22"/>
        <w:outlineLvl w:val="9"/>
        <w:rPr>
          <w:rFonts w:hAnsi="宋体"/>
          <w:color w:val="auto"/>
          <w:sz w:val="21"/>
          <w:szCs w:val="21"/>
          <w:highlight w:val="none"/>
        </w:rPr>
      </w:pPr>
    </w:p>
    <w:p>
      <w:pPr>
        <w:pStyle w:val="22"/>
        <w:outlineLvl w:val="9"/>
        <w:rPr>
          <w:rFonts w:hAnsi="宋体"/>
          <w:color w:val="auto"/>
          <w:sz w:val="21"/>
          <w:szCs w:val="21"/>
          <w:highlight w:val="none"/>
        </w:rPr>
      </w:pPr>
    </w:p>
    <w:p>
      <w:pPr>
        <w:pStyle w:val="22"/>
        <w:outlineLvl w:val="9"/>
        <w:rPr>
          <w:rFonts w:hAnsi="宋体"/>
          <w:color w:val="auto"/>
          <w:sz w:val="21"/>
          <w:szCs w:val="21"/>
          <w:highlight w:val="none"/>
        </w:rPr>
      </w:pPr>
    </w:p>
    <w:p>
      <w:pPr>
        <w:topLinePunct/>
        <w:spacing w:line="360" w:lineRule="exact"/>
        <w:jc w:val="center"/>
        <w:rPr>
          <w:rFonts w:ascii="宋体" w:hAnsi="宋体"/>
          <w:b/>
          <w:color w:val="auto"/>
          <w:sz w:val="30"/>
          <w:szCs w:val="30"/>
          <w:highlight w:val="none"/>
        </w:rPr>
      </w:pPr>
      <w:r>
        <w:rPr>
          <w:rFonts w:hint="eastAsia" w:ascii="宋体" w:hAnsi="宋体"/>
          <w:b/>
          <w:color w:val="auto"/>
          <w:sz w:val="30"/>
          <w:szCs w:val="30"/>
          <w:highlight w:val="none"/>
        </w:rPr>
        <w:t>8-2、法定代表人授权书</w:t>
      </w:r>
    </w:p>
    <w:p>
      <w:pPr>
        <w:pStyle w:val="22"/>
        <w:jc w:val="center"/>
        <w:outlineLvl w:val="9"/>
        <w:rPr>
          <w:rFonts w:hAnsi="宋体"/>
          <w:color w:val="auto"/>
          <w:sz w:val="30"/>
          <w:szCs w:val="30"/>
          <w:highlight w:val="none"/>
        </w:rPr>
      </w:pPr>
    </w:p>
    <w:p>
      <w:pPr>
        <w:spacing w:line="400" w:lineRule="exact"/>
        <w:rPr>
          <w:rFonts w:ascii="宋体" w:hAnsi="宋体"/>
          <w:color w:val="auto"/>
          <w:szCs w:val="21"/>
          <w:highlight w:val="none"/>
        </w:rPr>
      </w:pPr>
      <w:r>
        <w:rPr>
          <w:rFonts w:hint="eastAsia" w:ascii="宋体" w:hAnsi="宋体"/>
          <w:color w:val="auto"/>
          <w:szCs w:val="21"/>
          <w:highlight w:val="none"/>
          <w:u w:val="single"/>
          <w:lang w:eastAsia="zh-CN"/>
        </w:rPr>
        <w:t>福建吉瑞招标代理有限公司</w:t>
      </w:r>
      <w:r>
        <w:rPr>
          <w:rFonts w:hint="eastAsia" w:ascii="宋体" w:hAnsi="宋体"/>
          <w:color w:val="auto"/>
          <w:szCs w:val="21"/>
          <w:highlight w:val="none"/>
        </w:rPr>
        <w:t>：</w:t>
      </w:r>
    </w:p>
    <w:p>
      <w:pPr>
        <w:pStyle w:val="9"/>
        <w:snapToGrid w:val="0"/>
        <w:spacing w:line="400" w:lineRule="exact"/>
        <w:ind w:firstLine="525" w:firstLineChars="250"/>
        <w:rPr>
          <w:rFonts w:hAnsi="宋体"/>
          <w:color w:val="auto"/>
          <w:szCs w:val="21"/>
          <w:highlight w:val="none"/>
        </w:rPr>
      </w:pPr>
      <w:r>
        <w:rPr>
          <w:rFonts w:hint="eastAsia" w:hAnsi="宋体"/>
          <w:color w:val="auto"/>
          <w:szCs w:val="21"/>
          <w:highlight w:val="none"/>
          <w:u w:val="single"/>
        </w:rPr>
        <w:t xml:space="preserve">（投标人全称）   </w:t>
      </w:r>
      <w:r>
        <w:rPr>
          <w:rFonts w:hint="eastAsia" w:hAnsi="宋体"/>
          <w:color w:val="auto"/>
          <w:szCs w:val="21"/>
          <w:highlight w:val="none"/>
        </w:rPr>
        <w:t>法定代表人</w:t>
      </w:r>
      <w:r>
        <w:rPr>
          <w:rFonts w:hint="eastAsia" w:hAnsi="宋体"/>
          <w:color w:val="auto"/>
          <w:szCs w:val="21"/>
          <w:highlight w:val="none"/>
          <w:u w:val="single"/>
        </w:rPr>
        <w:t xml:space="preserve">(姓名、印刷体)      </w:t>
      </w:r>
      <w:r>
        <w:rPr>
          <w:rFonts w:hint="eastAsia" w:hAnsi="宋体"/>
          <w:color w:val="auto"/>
          <w:szCs w:val="21"/>
          <w:highlight w:val="none"/>
        </w:rPr>
        <w:t xml:space="preserve"> 授权</w:t>
      </w:r>
      <w:r>
        <w:rPr>
          <w:rFonts w:hint="eastAsia" w:hAnsi="宋体"/>
          <w:color w:val="auto"/>
          <w:szCs w:val="21"/>
          <w:highlight w:val="none"/>
          <w:u w:val="single"/>
        </w:rPr>
        <w:t xml:space="preserve">  （投标人代表姓名, 印刷体)</w:t>
      </w:r>
      <w:r>
        <w:rPr>
          <w:rFonts w:hint="eastAsia" w:hAnsi="宋体"/>
          <w:color w:val="auto"/>
          <w:szCs w:val="21"/>
          <w:highlight w:val="none"/>
        </w:rPr>
        <w:t>为投标人代表，代表本公司参加贵司组织的</w:t>
      </w:r>
      <w:r>
        <w:rPr>
          <w:rFonts w:hint="eastAsia" w:hAnsi="宋体"/>
          <w:color w:val="auto"/>
          <w:szCs w:val="21"/>
          <w:highlight w:val="none"/>
          <w:u w:val="single"/>
        </w:rPr>
        <w:t xml:space="preserve">            </w:t>
      </w:r>
      <w:r>
        <w:rPr>
          <w:rFonts w:hint="eastAsia" w:hAnsi="宋体"/>
          <w:color w:val="auto"/>
          <w:szCs w:val="21"/>
          <w:highlight w:val="none"/>
        </w:rPr>
        <w:t>项目（项目编号</w:t>
      </w:r>
      <w:r>
        <w:rPr>
          <w:rFonts w:hint="eastAsia" w:hAnsi="宋体"/>
          <w:color w:val="auto"/>
          <w:szCs w:val="21"/>
          <w:highlight w:val="none"/>
          <w:u w:val="single"/>
        </w:rPr>
        <w:t xml:space="preserve">           </w:t>
      </w:r>
      <w:r>
        <w:rPr>
          <w:rFonts w:hint="eastAsia" w:hAnsi="宋体"/>
          <w:color w:val="auto"/>
          <w:szCs w:val="21"/>
          <w:highlight w:val="none"/>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授权。特此授权。</w:t>
      </w:r>
    </w:p>
    <w:p>
      <w:pPr>
        <w:pStyle w:val="9"/>
        <w:snapToGrid w:val="0"/>
        <w:spacing w:line="400" w:lineRule="exact"/>
        <w:ind w:firstLine="420" w:firstLineChars="200"/>
        <w:rPr>
          <w:rFonts w:hAnsi="宋体"/>
          <w:color w:val="auto"/>
          <w:szCs w:val="21"/>
          <w:highlight w:val="none"/>
        </w:rPr>
      </w:pPr>
      <w:r>
        <w:rPr>
          <w:rFonts w:hint="eastAsia" w:hAnsi="宋体"/>
          <w:color w:val="auto"/>
          <w:szCs w:val="21"/>
          <w:highlight w:val="none"/>
        </w:rPr>
        <w:t>本授权书自出具之日起生效。</w:t>
      </w: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r>
        <w:rPr>
          <w:rFonts w:hint="eastAsia" w:ascii="宋体" w:hAnsi="宋体"/>
          <w:color w:val="auto"/>
          <w:szCs w:val="21"/>
          <w:highlight w:val="none"/>
        </w:rPr>
        <w:t>投标人代表：</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性别：</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固定电话：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移动电话:</w:t>
      </w:r>
      <w:r>
        <w:rPr>
          <w:rFonts w:hint="eastAsia" w:ascii="宋体" w:hAnsi="宋体"/>
          <w:color w:val="auto"/>
          <w:szCs w:val="21"/>
          <w:highlight w:val="none"/>
          <w:u w:val="single"/>
        </w:rPr>
        <w:t xml:space="preserve">             </w:t>
      </w:r>
    </w:p>
    <w:p>
      <w:pPr>
        <w:spacing w:line="400" w:lineRule="exact"/>
        <w:rPr>
          <w:rFonts w:ascii="宋体" w:hAnsi="宋体"/>
          <w:color w:val="auto"/>
          <w:szCs w:val="21"/>
          <w:highlight w:val="none"/>
        </w:rPr>
      </w:pPr>
      <w:r>
        <w:rPr>
          <w:rFonts w:hint="eastAsia" w:ascii="宋体" w:hAnsi="宋体"/>
          <w:color w:val="auto"/>
          <w:szCs w:val="21"/>
          <w:highlight w:val="none"/>
        </w:rPr>
        <w:t>单位：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部门：</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职务：</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400" w:lineRule="exact"/>
        <w:rPr>
          <w:rFonts w:ascii="宋体" w:hAnsi="宋体"/>
          <w:color w:val="auto"/>
          <w:szCs w:val="21"/>
          <w:highlight w:val="none"/>
        </w:rPr>
      </w:pPr>
      <w:r>
        <w:rPr>
          <w:rFonts w:hint="eastAsia" w:ascii="宋体" w:hAnsi="宋体"/>
          <w:color w:val="auto"/>
          <w:szCs w:val="21"/>
          <w:highlight w:val="none"/>
        </w:rPr>
        <w:t>详细通讯地址：</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b/>
          <w:color w:val="auto"/>
          <w:szCs w:val="21"/>
          <w:highlight w:val="none"/>
        </w:rPr>
        <w:t xml:space="preserve"> </w:t>
      </w:r>
      <w:r>
        <w:rPr>
          <w:rFonts w:hint="eastAsia" w:ascii="宋体" w:hAnsi="宋体"/>
          <w:color w:val="auto"/>
          <w:szCs w:val="21"/>
          <w:highlight w:val="none"/>
        </w:rPr>
        <w:t>邮政编码</w:t>
      </w:r>
      <w:r>
        <w:rPr>
          <w:rFonts w:ascii="宋体" w:hAnsi="宋体"/>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360" w:lineRule="exact"/>
        <w:rPr>
          <w:rFonts w:ascii="仿宋_GB2312" w:hAnsi="宋体" w:eastAsia="仿宋_GB2312"/>
          <w:color w:val="auto"/>
          <w:sz w:val="24"/>
          <w:highlight w:val="none"/>
        </w:rPr>
      </w:pPr>
    </w:p>
    <w:p>
      <w:pPr>
        <w:spacing w:line="360" w:lineRule="exact"/>
        <w:rPr>
          <w:rFonts w:ascii="宋体" w:hAnsi="宋体"/>
          <w:color w:val="auto"/>
          <w:szCs w:val="21"/>
          <w:highlight w:val="none"/>
        </w:rPr>
      </w:pPr>
      <w:r>
        <w:rPr>
          <w:rFonts w:hint="eastAsia" w:ascii="宋体" w:hAnsi="宋体"/>
          <w:color w:val="auto"/>
          <w:szCs w:val="21"/>
          <w:highlight w:val="none"/>
        </w:rPr>
        <w:t>附：授权人及被授权人身份证件复印件（可另附页）</w:t>
      </w:r>
    </w:p>
    <w:p>
      <w:pPr>
        <w:spacing w:line="380" w:lineRule="exact"/>
        <w:rPr>
          <w:rFonts w:ascii="宋体" w:hAnsi="宋体"/>
          <w:color w:val="auto"/>
          <w:szCs w:val="21"/>
          <w:highlight w:val="none"/>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3"/>
        <w:gridCol w:w="1579"/>
        <w:gridCol w:w="3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33" w:hRule="atLeast"/>
        </w:trPr>
        <w:tc>
          <w:tcPr>
            <w:tcW w:w="3783" w:type="dxa"/>
            <w:noWrap w:val="0"/>
            <w:vAlign w:val="top"/>
          </w:tcPr>
          <w:p>
            <w:pPr>
              <w:spacing w:line="380" w:lineRule="exact"/>
              <w:rPr>
                <w:rFonts w:ascii="宋体" w:hAnsi="宋体"/>
                <w:color w:val="auto"/>
                <w:szCs w:val="21"/>
                <w:highlight w:val="none"/>
              </w:rPr>
            </w:pPr>
          </w:p>
          <w:p>
            <w:pPr>
              <w:spacing w:line="380" w:lineRule="exact"/>
              <w:rPr>
                <w:rFonts w:ascii="宋体" w:hAnsi="宋体"/>
                <w:color w:val="auto"/>
                <w:szCs w:val="21"/>
                <w:highlight w:val="none"/>
              </w:rPr>
            </w:pPr>
          </w:p>
          <w:p>
            <w:pPr>
              <w:spacing w:line="380" w:lineRule="exact"/>
              <w:rPr>
                <w:rFonts w:ascii="宋体" w:hAnsi="宋体"/>
                <w:color w:val="auto"/>
                <w:szCs w:val="21"/>
                <w:highlight w:val="none"/>
              </w:rPr>
            </w:pPr>
          </w:p>
          <w:p>
            <w:pPr>
              <w:spacing w:line="380" w:lineRule="exact"/>
              <w:ind w:firstLine="525" w:firstLineChars="250"/>
              <w:rPr>
                <w:rFonts w:ascii="宋体" w:hAnsi="宋体"/>
                <w:color w:val="auto"/>
                <w:szCs w:val="21"/>
                <w:highlight w:val="none"/>
              </w:rPr>
            </w:pPr>
            <w:r>
              <w:rPr>
                <w:rFonts w:hint="eastAsia" w:ascii="宋体" w:hAnsi="宋体"/>
                <w:color w:val="auto"/>
                <w:szCs w:val="21"/>
                <w:highlight w:val="none"/>
              </w:rPr>
              <w:t>授权人身份证件复印件</w:t>
            </w:r>
          </w:p>
          <w:p>
            <w:pPr>
              <w:spacing w:line="380" w:lineRule="exact"/>
              <w:ind w:firstLine="525" w:firstLineChars="250"/>
              <w:rPr>
                <w:rFonts w:ascii="宋体" w:hAnsi="宋体"/>
                <w:color w:val="auto"/>
                <w:szCs w:val="21"/>
                <w:highlight w:val="none"/>
              </w:rPr>
            </w:pPr>
            <w:r>
              <w:rPr>
                <w:rFonts w:hint="eastAsia" w:ascii="宋体" w:hAnsi="宋体"/>
                <w:color w:val="auto"/>
                <w:szCs w:val="21"/>
                <w:highlight w:val="none"/>
              </w:rPr>
              <w:t xml:space="preserve"> </w:t>
            </w:r>
          </w:p>
        </w:tc>
        <w:tc>
          <w:tcPr>
            <w:tcW w:w="1579" w:type="dxa"/>
            <w:tcBorders>
              <w:top w:val="nil"/>
              <w:bottom w:val="nil"/>
            </w:tcBorders>
            <w:noWrap w:val="0"/>
            <w:vAlign w:val="top"/>
          </w:tcPr>
          <w:p>
            <w:pPr>
              <w:spacing w:line="380" w:lineRule="exact"/>
              <w:rPr>
                <w:rFonts w:ascii="宋体" w:hAnsi="宋体"/>
                <w:color w:val="auto"/>
                <w:szCs w:val="21"/>
                <w:highlight w:val="none"/>
              </w:rPr>
            </w:pPr>
          </w:p>
        </w:tc>
        <w:tc>
          <w:tcPr>
            <w:tcW w:w="3902" w:type="dxa"/>
            <w:noWrap w:val="0"/>
            <w:vAlign w:val="top"/>
          </w:tcPr>
          <w:p>
            <w:pPr>
              <w:spacing w:line="380" w:lineRule="exact"/>
              <w:rPr>
                <w:rFonts w:ascii="宋体" w:hAnsi="宋体"/>
                <w:color w:val="auto"/>
                <w:szCs w:val="21"/>
                <w:highlight w:val="none"/>
              </w:rPr>
            </w:pPr>
          </w:p>
          <w:p>
            <w:pPr>
              <w:spacing w:line="380" w:lineRule="exact"/>
              <w:rPr>
                <w:rFonts w:ascii="宋体" w:hAnsi="宋体"/>
                <w:color w:val="auto"/>
                <w:szCs w:val="21"/>
                <w:highlight w:val="none"/>
              </w:rPr>
            </w:pPr>
          </w:p>
          <w:p>
            <w:pPr>
              <w:spacing w:line="380" w:lineRule="exact"/>
              <w:rPr>
                <w:rFonts w:ascii="宋体" w:hAnsi="宋体"/>
                <w:color w:val="auto"/>
                <w:szCs w:val="21"/>
                <w:highlight w:val="none"/>
              </w:rPr>
            </w:pPr>
          </w:p>
          <w:p>
            <w:pPr>
              <w:spacing w:line="380" w:lineRule="exact"/>
              <w:ind w:firstLine="315" w:firstLineChars="150"/>
              <w:rPr>
                <w:rFonts w:ascii="宋体" w:hAnsi="宋体"/>
                <w:color w:val="auto"/>
                <w:szCs w:val="21"/>
                <w:highlight w:val="none"/>
              </w:rPr>
            </w:pPr>
            <w:r>
              <w:rPr>
                <w:rFonts w:hint="eastAsia" w:ascii="宋体" w:hAnsi="宋体"/>
                <w:color w:val="auto"/>
                <w:szCs w:val="21"/>
                <w:highlight w:val="none"/>
              </w:rPr>
              <w:t>被授权人身份证件复印件</w:t>
            </w:r>
          </w:p>
        </w:tc>
      </w:tr>
    </w:tbl>
    <w:p>
      <w:pPr>
        <w:spacing w:line="300" w:lineRule="exact"/>
        <w:rPr>
          <w:rFonts w:ascii="宋体" w:hAnsi="宋体"/>
          <w:color w:val="auto"/>
          <w:szCs w:val="21"/>
          <w:highlight w:val="none"/>
        </w:rPr>
      </w:pPr>
      <w:r>
        <w:rPr>
          <w:rFonts w:hint="eastAsia" w:ascii="宋体" w:hAnsi="宋体"/>
          <w:color w:val="auto"/>
          <w:szCs w:val="21"/>
          <w:highlight w:val="none"/>
        </w:rPr>
        <w:t>授权方                                      接受授权方</w:t>
      </w:r>
    </w:p>
    <w:p>
      <w:pPr>
        <w:spacing w:line="300" w:lineRule="exact"/>
        <w:rPr>
          <w:rFonts w:ascii="宋体" w:hAnsi="宋体"/>
          <w:color w:val="auto"/>
          <w:szCs w:val="21"/>
          <w:highlight w:val="none"/>
        </w:rPr>
      </w:pPr>
    </w:p>
    <w:p>
      <w:pPr>
        <w:spacing w:line="300" w:lineRule="exact"/>
        <w:rPr>
          <w:rFonts w:ascii="宋体" w:hAnsi="宋体"/>
          <w:color w:val="auto"/>
          <w:szCs w:val="21"/>
          <w:highlight w:val="none"/>
        </w:rPr>
      </w:pPr>
      <w:r>
        <w:rPr>
          <w:rFonts w:hint="eastAsia" w:ascii="宋体" w:hAnsi="宋体"/>
          <w:color w:val="auto"/>
          <w:szCs w:val="21"/>
          <w:highlight w:val="none"/>
        </w:rPr>
        <w:t>投标人（全称并加盖公章）：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300" w:lineRule="exact"/>
        <w:rPr>
          <w:rFonts w:ascii="宋体" w:hAnsi="宋体"/>
          <w:color w:val="auto"/>
          <w:szCs w:val="21"/>
          <w:highlight w:val="none"/>
        </w:rPr>
      </w:pPr>
      <w:r>
        <w:rPr>
          <w:rFonts w:hint="eastAsia" w:ascii="宋体" w:hAnsi="宋体"/>
          <w:color w:val="auto"/>
          <w:szCs w:val="21"/>
          <w:highlight w:val="none"/>
        </w:rPr>
        <w:t xml:space="preserve"> </w:t>
      </w:r>
    </w:p>
    <w:p>
      <w:pPr>
        <w:spacing w:line="300" w:lineRule="exact"/>
        <w:rPr>
          <w:rFonts w:ascii="宋体" w:hAnsi="宋体"/>
          <w:color w:val="auto"/>
          <w:szCs w:val="21"/>
          <w:highlight w:val="none"/>
          <w:u w:val="single"/>
        </w:rPr>
      </w:pPr>
      <w:r>
        <w:rPr>
          <w:rFonts w:hint="eastAsia" w:ascii="宋体" w:hAnsi="宋体"/>
          <w:color w:val="auto"/>
          <w:szCs w:val="21"/>
          <w:highlight w:val="none"/>
        </w:rPr>
        <w:t>法定代表人签字：</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投标人代表签字：</w:t>
      </w:r>
      <w:r>
        <w:rPr>
          <w:rFonts w:hint="eastAsia" w:ascii="宋体" w:hAnsi="宋体"/>
          <w:color w:val="auto"/>
          <w:szCs w:val="21"/>
          <w:highlight w:val="none"/>
          <w:u w:val="single"/>
        </w:rPr>
        <w:t xml:space="preserve">                         </w:t>
      </w:r>
    </w:p>
    <w:p>
      <w:pPr>
        <w:spacing w:line="300" w:lineRule="exact"/>
        <w:rPr>
          <w:rFonts w:ascii="宋体" w:hAnsi="宋体"/>
          <w:color w:val="auto"/>
          <w:szCs w:val="21"/>
          <w:highlight w:val="none"/>
          <w:u w:val="single"/>
        </w:rPr>
      </w:pPr>
    </w:p>
    <w:p>
      <w:pPr>
        <w:spacing w:line="300" w:lineRule="exact"/>
        <w:rPr>
          <w:rFonts w:ascii="宋体" w:hAnsi="宋体"/>
          <w:color w:val="auto"/>
          <w:szCs w:val="21"/>
          <w:highlight w:val="none"/>
        </w:rPr>
      </w:pPr>
      <w:r>
        <w:rPr>
          <w:rFonts w:hint="eastAsia" w:ascii="宋体" w:hAnsi="宋体"/>
          <w:color w:val="auto"/>
          <w:szCs w:val="21"/>
          <w:highlight w:val="none"/>
        </w:rPr>
        <w:t>法定代表人身份证号：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投标人代表身份证号：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300" w:lineRule="exact"/>
        <w:rPr>
          <w:rFonts w:ascii="宋体" w:hAnsi="宋体"/>
          <w:color w:val="auto"/>
          <w:szCs w:val="21"/>
          <w:highlight w:val="none"/>
        </w:rPr>
      </w:pPr>
    </w:p>
    <w:p>
      <w:pPr>
        <w:spacing w:line="300" w:lineRule="exact"/>
        <w:rPr>
          <w:rFonts w:ascii="宋体" w:hAnsi="宋体"/>
          <w:color w:val="auto"/>
          <w:szCs w:val="21"/>
          <w:highlight w:val="none"/>
          <w:u w:val="single"/>
        </w:rPr>
      </w:pPr>
      <w:r>
        <w:rPr>
          <w:rFonts w:hint="eastAsia" w:ascii="宋体" w:hAnsi="宋体"/>
          <w:color w:val="auto"/>
          <w:szCs w:val="21"/>
          <w:highlight w:val="none"/>
        </w:rPr>
        <w:t>日     期：</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     期：</w:t>
      </w:r>
      <w:r>
        <w:rPr>
          <w:rFonts w:hint="eastAsia" w:ascii="宋体" w:hAnsi="宋体"/>
          <w:color w:val="auto"/>
          <w:szCs w:val="21"/>
          <w:highlight w:val="none"/>
          <w:u w:val="single"/>
        </w:rPr>
        <w:t xml:space="preserve">                            </w:t>
      </w:r>
    </w:p>
    <w:p>
      <w:pPr>
        <w:spacing w:line="300" w:lineRule="exact"/>
        <w:rPr>
          <w:color w:val="auto"/>
          <w:szCs w:val="21"/>
          <w:highlight w:val="none"/>
        </w:rPr>
      </w:pPr>
    </w:p>
    <w:p>
      <w:pPr>
        <w:spacing w:line="300" w:lineRule="exact"/>
        <w:rPr>
          <w:rFonts w:ascii="宋体" w:hAnsi="宋体"/>
          <w:color w:val="auto"/>
          <w:szCs w:val="21"/>
          <w:highlight w:val="none"/>
        </w:rPr>
      </w:pPr>
    </w:p>
    <w:p>
      <w:pPr>
        <w:pStyle w:val="22"/>
        <w:outlineLvl w:val="9"/>
        <w:rPr>
          <w:rFonts w:hAnsi="宋体"/>
          <w:color w:val="auto"/>
          <w:sz w:val="21"/>
          <w:szCs w:val="21"/>
          <w:highlight w:val="none"/>
        </w:rPr>
      </w:pPr>
    </w:p>
    <w:p>
      <w:pPr>
        <w:pStyle w:val="22"/>
        <w:outlineLvl w:val="9"/>
        <w:rPr>
          <w:rFonts w:hAnsi="宋体"/>
          <w:color w:val="auto"/>
          <w:sz w:val="21"/>
          <w:szCs w:val="21"/>
          <w:highlight w:val="none"/>
        </w:rPr>
      </w:pPr>
    </w:p>
    <w:p>
      <w:pPr>
        <w:rPr>
          <w:rFonts w:hint="eastAsia" w:ascii="宋体" w:hAnsi="宋体"/>
          <w:color w:val="auto"/>
          <w:szCs w:val="21"/>
          <w:highlight w:val="none"/>
        </w:rPr>
      </w:pPr>
      <w:r>
        <w:rPr>
          <w:rFonts w:hint="eastAsia" w:hAnsi="宋体"/>
          <w:color w:val="auto"/>
          <w:szCs w:val="21"/>
          <w:highlight w:val="none"/>
        </w:rPr>
        <w:t>注：投标代表不是法人的提供此件，</w:t>
      </w:r>
      <w:r>
        <w:rPr>
          <w:rFonts w:hint="eastAsia" w:ascii="宋体" w:hAnsi="宋体"/>
          <w:color w:val="auto"/>
          <w:szCs w:val="21"/>
          <w:highlight w:val="none"/>
        </w:rPr>
        <w:t>表8-1与表8-2无需同时提供</w:t>
      </w:r>
      <w:r>
        <w:rPr>
          <w:rFonts w:hint="eastAsia" w:hAnsi="宋体"/>
          <w:color w:val="auto"/>
          <w:szCs w:val="21"/>
          <w:highlight w:val="none"/>
        </w:rPr>
        <w:t>。</w:t>
      </w:r>
    </w:p>
    <w:p>
      <w:pPr>
        <w:rPr>
          <w:rFonts w:hint="eastAsia" w:ascii="宋体" w:hAnsi="宋体"/>
          <w:color w:val="auto"/>
          <w:szCs w:val="21"/>
          <w:highlight w:val="none"/>
        </w:rPr>
      </w:pPr>
    </w:p>
    <w:p>
      <w:pPr>
        <w:rPr>
          <w:rFonts w:hint="eastAsia"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附件9、</w:t>
      </w:r>
    </w:p>
    <w:p>
      <w:pPr>
        <w:jc w:val="center"/>
        <w:rPr>
          <w:rFonts w:hint="eastAsia" w:ascii="宋体" w:hAnsi="宋体"/>
          <w:color w:val="auto"/>
          <w:highlight w:val="none"/>
        </w:rPr>
      </w:pPr>
    </w:p>
    <w:p>
      <w:pPr>
        <w:jc w:val="center"/>
        <w:rPr>
          <w:rFonts w:hint="eastAsia" w:ascii="宋体" w:hAnsi="宋体"/>
          <w:b/>
          <w:color w:val="auto"/>
          <w:sz w:val="32"/>
          <w:szCs w:val="32"/>
          <w:highlight w:val="none"/>
        </w:rPr>
      </w:pPr>
      <w:r>
        <w:rPr>
          <w:rFonts w:hint="eastAsia" w:ascii="宋体" w:hAnsi="宋体"/>
          <w:b/>
          <w:color w:val="auto"/>
          <w:sz w:val="32"/>
          <w:szCs w:val="32"/>
          <w:highlight w:val="none"/>
        </w:rPr>
        <w:t>投标人提交的其它资料</w:t>
      </w:r>
    </w:p>
    <w:p>
      <w:pPr>
        <w:rPr>
          <w:rFonts w:hint="eastAsia" w:ascii="宋体" w:hAnsi="宋体"/>
          <w:b/>
          <w:color w:val="auto"/>
          <w:sz w:val="36"/>
          <w:highlight w:val="none"/>
        </w:rPr>
      </w:pPr>
      <w:r>
        <w:rPr>
          <w:rFonts w:ascii="宋体" w:hAnsi="宋体"/>
          <w:b/>
          <w:color w:val="auto"/>
          <w:sz w:val="36"/>
          <w:highlight w:val="none"/>
        </w:rPr>
        <w:t xml:space="preserve"> </w:t>
      </w:r>
      <w:r>
        <w:rPr>
          <w:rFonts w:hint="eastAsia" w:ascii="宋体" w:hAnsi="宋体"/>
          <w:b/>
          <w:color w:val="auto"/>
          <w:sz w:val="36"/>
          <w:highlight w:val="none"/>
        </w:rPr>
        <w:t xml:space="preserve">  </w:t>
      </w:r>
    </w:p>
    <w:p>
      <w:pPr>
        <w:ind w:firstLine="480" w:firstLineChars="200"/>
        <w:rPr>
          <w:rFonts w:hint="eastAsia" w:ascii="宋体" w:hAnsi="宋体"/>
          <w:color w:val="auto"/>
          <w:sz w:val="24"/>
          <w:highlight w:val="none"/>
        </w:rPr>
      </w:pPr>
    </w:p>
    <w:p>
      <w:pPr>
        <w:spacing w:line="500" w:lineRule="exact"/>
        <w:ind w:firstLine="372" w:firstLineChars="200"/>
        <w:rPr>
          <w:rFonts w:hint="eastAsia" w:ascii="宋体" w:hAnsi="宋体"/>
          <w:color w:val="auto"/>
          <w:szCs w:val="21"/>
          <w:highlight w:val="none"/>
        </w:rPr>
      </w:pPr>
      <w:r>
        <w:rPr>
          <w:rFonts w:hint="eastAsia" w:ascii="宋体" w:hAnsi="宋体"/>
          <w:color w:val="auto"/>
          <w:spacing w:val="-12"/>
          <w:szCs w:val="21"/>
          <w:highlight w:val="none"/>
        </w:rPr>
        <w:t>1、</w:t>
      </w:r>
      <w:r>
        <w:rPr>
          <w:rFonts w:hint="eastAsia" w:ascii="宋体" w:hAnsi="宋体"/>
          <w:bCs/>
          <w:color w:val="auto"/>
          <w:spacing w:val="-12"/>
          <w:szCs w:val="21"/>
          <w:highlight w:val="none"/>
        </w:rPr>
        <w:t>投标人必须提供</w:t>
      </w:r>
      <w:r>
        <w:rPr>
          <w:rFonts w:hint="eastAsia" w:ascii="宋体" w:hAnsi="宋体"/>
          <w:bCs/>
          <w:color w:val="auto"/>
          <w:szCs w:val="21"/>
          <w:highlight w:val="none"/>
        </w:rPr>
        <w:t>与投标货物型号一</w:t>
      </w:r>
      <w:r>
        <w:rPr>
          <w:rFonts w:hint="eastAsia" w:ascii="宋体" w:hAnsi="宋体"/>
          <w:bCs/>
          <w:color w:val="auto"/>
          <w:szCs w:val="21"/>
          <w:highlight w:val="none"/>
        </w:rPr>
        <w:t>致的彩页资料（应能对技术参数、性能指标等进行佐证）</w:t>
      </w:r>
      <w:r>
        <w:rPr>
          <w:rFonts w:hint="eastAsia" w:ascii="宋体" w:hAnsi="宋体"/>
          <w:color w:val="auto"/>
          <w:szCs w:val="21"/>
          <w:highlight w:val="none"/>
        </w:rPr>
        <w:t>；以便评委在评标过程中使用。</w:t>
      </w:r>
    </w:p>
    <w:p>
      <w:pPr>
        <w:spacing w:line="500" w:lineRule="exact"/>
        <w:ind w:firstLine="372" w:firstLineChars="200"/>
        <w:rPr>
          <w:rFonts w:hint="eastAsia" w:ascii="宋体" w:hAnsi="宋体"/>
          <w:bCs/>
          <w:color w:val="auto"/>
          <w:spacing w:val="-12"/>
          <w:szCs w:val="21"/>
          <w:highlight w:val="none"/>
        </w:rPr>
      </w:pPr>
      <w:r>
        <w:rPr>
          <w:rFonts w:hint="eastAsia" w:ascii="宋体" w:hAnsi="宋体"/>
          <w:bCs/>
          <w:color w:val="auto"/>
          <w:spacing w:val="-12"/>
          <w:szCs w:val="21"/>
          <w:highlight w:val="none"/>
        </w:rPr>
        <w:t>2、产品</w:t>
      </w:r>
      <w:r>
        <w:rPr>
          <w:rFonts w:hint="eastAsia" w:ascii="宋体" w:hAnsi="宋体"/>
          <w:color w:val="auto"/>
          <w:szCs w:val="21"/>
          <w:highlight w:val="none"/>
        </w:rPr>
        <w:t>图片、说明书、技术特征、现场性能及要求、功能列表</w:t>
      </w:r>
      <w:r>
        <w:rPr>
          <w:rFonts w:hint="eastAsia" w:ascii="宋体" w:hAnsi="宋体"/>
          <w:bCs/>
          <w:color w:val="auto"/>
          <w:spacing w:val="-12"/>
          <w:szCs w:val="21"/>
          <w:highlight w:val="none"/>
        </w:rPr>
        <w:t>。（如有）</w:t>
      </w:r>
    </w:p>
    <w:p>
      <w:pPr>
        <w:spacing w:line="500" w:lineRule="exact"/>
        <w:ind w:firstLine="372" w:firstLineChars="200"/>
        <w:rPr>
          <w:rFonts w:hint="eastAsia" w:ascii="宋体" w:hAnsi="宋体"/>
          <w:bCs/>
          <w:color w:val="auto"/>
          <w:spacing w:val="-12"/>
          <w:szCs w:val="21"/>
          <w:highlight w:val="none"/>
        </w:rPr>
      </w:pPr>
      <w:r>
        <w:rPr>
          <w:rFonts w:hint="eastAsia" w:ascii="宋体" w:hAnsi="宋体"/>
          <w:bCs/>
          <w:color w:val="auto"/>
          <w:spacing w:val="-12"/>
          <w:szCs w:val="21"/>
          <w:highlight w:val="none"/>
        </w:rPr>
        <w:t>3、投标人认为应提交的其他材料, 可在此附件中提交。</w:t>
      </w:r>
    </w:p>
    <w:p>
      <w:pPr>
        <w:spacing w:line="38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p>
    <w:p>
      <w:pPr>
        <w:spacing w:line="380" w:lineRule="exact"/>
        <w:rPr>
          <w:rFonts w:hint="eastAsia"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380" w:lineRule="exact"/>
        <w:rPr>
          <w:rFonts w:ascii="宋体" w:hAnsi="宋体"/>
          <w:color w:val="auto"/>
          <w:sz w:val="24"/>
          <w:highlight w:val="none"/>
        </w:rPr>
      </w:pPr>
      <w:r>
        <w:rPr>
          <w:rFonts w:ascii="宋体" w:hAnsi="宋体"/>
          <w:color w:val="auto"/>
          <w:sz w:val="24"/>
          <w:highlight w:val="none"/>
        </w:rPr>
        <w:t xml:space="preserve">                                   </w:t>
      </w:r>
    </w:p>
    <w:p>
      <w:pPr>
        <w:pStyle w:val="9"/>
        <w:snapToGrid w:val="0"/>
        <w:spacing w:line="440" w:lineRule="exact"/>
        <w:rPr>
          <w:rFonts w:hint="eastAsia" w:hAnsi="宋体"/>
          <w:color w:val="auto"/>
          <w:highlight w:val="none"/>
        </w:rPr>
      </w:pPr>
    </w:p>
    <w:p>
      <w:pPr>
        <w:pStyle w:val="9"/>
        <w:snapToGrid w:val="0"/>
        <w:spacing w:line="440" w:lineRule="exact"/>
        <w:ind w:firstLine="526" w:firstLineChars="250"/>
        <w:rPr>
          <w:rFonts w:hint="eastAsia" w:hAnsi="宋体"/>
          <w:b/>
          <w:color w:val="auto"/>
          <w:szCs w:val="21"/>
          <w:highlight w:val="none"/>
        </w:rPr>
      </w:pPr>
    </w:p>
    <w:p>
      <w:pPr>
        <w:pStyle w:val="9"/>
        <w:snapToGrid w:val="0"/>
        <w:spacing w:line="440" w:lineRule="exact"/>
        <w:rPr>
          <w:rFonts w:hint="eastAsia" w:hAnsi="宋体"/>
          <w:color w:val="auto"/>
          <w:highlight w:val="none"/>
        </w:rPr>
      </w:pPr>
    </w:p>
    <w:p>
      <w:pPr>
        <w:pStyle w:val="22"/>
        <w:outlineLvl w:val="9"/>
        <w:rPr>
          <w:rFonts w:hAnsi="宋体"/>
          <w:color w:val="auto"/>
          <w:sz w:val="24"/>
          <w:highlight w:val="none"/>
        </w:rPr>
      </w:pPr>
      <w:r>
        <w:rPr>
          <w:rFonts w:hAnsi="宋体"/>
          <w:color w:val="auto"/>
          <w:sz w:val="24"/>
          <w:highlight w:val="none"/>
        </w:rPr>
        <w:t xml:space="preserve">  </w:t>
      </w:r>
    </w:p>
    <w:p>
      <w:pPr>
        <w:rPr>
          <w:rFonts w:hint="eastAsia" w:ascii="宋体" w:hAnsi="宋体"/>
          <w:color w:val="auto"/>
          <w:sz w:val="28"/>
          <w:highlight w:val="none"/>
        </w:rPr>
      </w:pPr>
    </w:p>
    <w:p>
      <w:pPr>
        <w:rPr>
          <w:rFonts w:hint="eastAsia" w:ascii="宋体" w:hAnsi="宋体"/>
          <w:color w:val="auto"/>
          <w:sz w:val="28"/>
          <w:highlight w:val="none"/>
        </w:rPr>
      </w:pPr>
    </w:p>
    <w:p>
      <w:pPr>
        <w:rPr>
          <w:rFonts w:hint="eastAsia" w:ascii="宋体" w:hAnsi="宋体"/>
          <w:color w:val="auto"/>
          <w:sz w:val="28"/>
          <w:highlight w:val="none"/>
        </w:rPr>
      </w:pPr>
    </w:p>
    <w:p>
      <w:pPr>
        <w:rPr>
          <w:rFonts w:hint="eastAsia" w:ascii="宋体" w:hAnsi="宋体"/>
          <w:color w:val="auto"/>
          <w:sz w:val="28"/>
          <w:highlight w:val="none"/>
        </w:rPr>
      </w:pPr>
    </w:p>
    <w:p>
      <w:pPr>
        <w:rPr>
          <w:rFonts w:hint="eastAsia" w:ascii="宋体" w:hAnsi="宋体"/>
          <w:color w:val="auto"/>
          <w:sz w:val="28"/>
          <w:highlight w:val="none"/>
        </w:rPr>
      </w:pPr>
    </w:p>
    <w:p>
      <w:pPr>
        <w:rPr>
          <w:rFonts w:hint="eastAsia" w:ascii="宋体" w:hAnsi="宋体"/>
          <w:color w:val="auto"/>
          <w:sz w:val="24"/>
          <w:highlight w:val="none"/>
        </w:rPr>
      </w:pPr>
    </w:p>
    <w:p>
      <w:pPr>
        <w:rPr>
          <w:rFonts w:hint="eastAsia" w:ascii="宋体" w:hAnsi="宋体"/>
          <w:color w:val="auto"/>
          <w:sz w:val="28"/>
          <w:highlight w:val="none"/>
        </w:rPr>
      </w:pPr>
    </w:p>
    <w:p>
      <w:pPr>
        <w:jc w:val="center"/>
        <w:rPr>
          <w:rFonts w:hint="eastAsia" w:ascii="宋体" w:hAnsi="宋体"/>
          <w:b/>
          <w:color w:val="auto"/>
          <w:sz w:val="36"/>
          <w:highlight w:val="none"/>
        </w:rPr>
      </w:pPr>
    </w:p>
    <w:p>
      <w:pPr>
        <w:jc w:val="center"/>
        <w:rPr>
          <w:rFonts w:hint="eastAsia" w:ascii="宋体" w:hAnsi="宋体"/>
          <w:b/>
          <w:color w:val="auto"/>
          <w:sz w:val="36"/>
          <w:highlight w:val="none"/>
        </w:rPr>
      </w:pPr>
    </w:p>
    <w:p>
      <w:pPr>
        <w:jc w:val="center"/>
        <w:rPr>
          <w:rFonts w:hint="eastAsia" w:ascii="宋体" w:hAnsi="宋体"/>
          <w:b/>
          <w:color w:val="auto"/>
          <w:sz w:val="36"/>
          <w:highlight w:val="none"/>
        </w:rPr>
      </w:pPr>
    </w:p>
    <w:p>
      <w:pPr>
        <w:jc w:val="center"/>
        <w:rPr>
          <w:rFonts w:hint="eastAsia" w:ascii="宋体" w:hAnsi="宋体"/>
          <w:b/>
          <w:color w:val="auto"/>
          <w:sz w:val="36"/>
          <w:highlight w:val="none"/>
        </w:rPr>
      </w:pPr>
    </w:p>
    <w:p>
      <w:pPr>
        <w:pStyle w:val="22"/>
        <w:jc w:val="left"/>
        <w:rPr>
          <w:rFonts w:hAnsi="宋体"/>
          <w:color w:val="auto"/>
          <w:sz w:val="21"/>
          <w:szCs w:val="21"/>
          <w:highlight w:val="none"/>
        </w:rPr>
      </w:pPr>
      <w:bookmarkStart w:id="29" w:name="_Toc28627"/>
      <w:bookmarkStart w:id="30" w:name="_Toc14506"/>
      <w:bookmarkStart w:id="31" w:name="_Toc8530"/>
    </w:p>
    <w:p>
      <w:pPr>
        <w:pStyle w:val="22"/>
        <w:jc w:val="left"/>
        <w:rPr>
          <w:rFonts w:hAnsi="宋体"/>
          <w:color w:val="auto"/>
          <w:sz w:val="21"/>
          <w:szCs w:val="21"/>
          <w:highlight w:val="none"/>
        </w:rPr>
      </w:pPr>
      <w:r>
        <w:rPr>
          <w:rFonts w:hAnsi="宋体"/>
          <w:color w:val="auto"/>
          <w:sz w:val="21"/>
          <w:szCs w:val="21"/>
          <w:highlight w:val="none"/>
        </w:rPr>
        <w:t>附件10、</w:t>
      </w:r>
      <w:bookmarkEnd w:id="29"/>
      <w:bookmarkEnd w:id="30"/>
      <w:bookmarkEnd w:id="31"/>
    </w:p>
    <w:p>
      <w:pPr>
        <w:jc w:val="center"/>
        <w:outlineLvl w:val="1"/>
        <w:rPr>
          <w:rFonts w:hint="eastAsia" w:ascii="宋体" w:hAnsi="宋体"/>
          <w:color w:val="auto"/>
          <w:sz w:val="32"/>
          <w:szCs w:val="32"/>
          <w:highlight w:val="none"/>
        </w:rPr>
      </w:pPr>
      <w:bookmarkStart w:id="32" w:name="_Toc7602"/>
      <w:bookmarkStart w:id="33" w:name="_Toc17182"/>
      <w:r>
        <w:rPr>
          <w:rFonts w:hint="eastAsia" w:ascii="宋体" w:hAnsi="宋体"/>
          <w:b/>
          <w:color w:val="auto"/>
          <w:sz w:val="32"/>
          <w:szCs w:val="32"/>
          <w:highlight w:val="none"/>
        </w:rPr>
        <w:t>招标服务费承诺书</w:t>
      </w:r>
      <w:bookmarkEnd w:id="32"/>
      <w:bookmarkEnd w:id="33"/>
    </w:p>
    <w:p>
      <w:pPr>
        <w:pStyle w:val="22"/>
        <w:jc w:val="center"/>
        <w:outlineLvl w:val="9"/>
        <w:rPr>
          <w:rFonts w:hint="eastAsia" w:hAnsi="宋体" w:eastAsia="宋体"/>
          <w:color w:val="auto"/>
          <w:sz w:val="21"/>
          <w:highlight w:val="none"/>
          <w:lang w:eastAsia="zh-CN"/>
        </w:rPr>
      </w:pPr>
    </w:p>
    <w:p>
      <w:pPr>
        <w:pStyle w:val="22"/>
        <w:jc w:val="center"/>
        <w:outlineLvl w:val="9"/>
        <w:rPr>
          <w:rFonts w:hAnsi="宋体"/>
          <w:color w:val="auto"/>
          <w:sz w:val="21"/>
          <w:highlight w:val="none"/>
        </w:rPr>
      </w:pPr>
      <w:r>
        <w:rPr>
          <w:rFonts w:hAnsi="宋体"/>
          <w:color w:val="auto"/>
          <w:sz w:val="21"/>
          <w:highlight w:val="none"/>
        </w:rPr>
        <w:t xml:space="preserve">                                </w:t>
      </w:r>
    </w:p>
    <w:p>
      <w:pPr>
        <w:spacing w:line="380" w:lineRule="exact"/>
        <w:rPr>
          <w:rFonts w:hint="eastAsia" w:ascii="宋体" w:hAnsi="宋体" w:eastAsia="宋体"/>
          <w:color w:val="auto"/>
          <w:szCs w:val="21"/>
          <w:highlight w:val="none"/>
          <w:lang w:eastAsia="zh-CN"/>
        </w:rPr>
      </w:pPr>
      <w:r>
        <w:rPr>
          <w:rFonts w:hint="eastAsia" w:ascii="宋体" w:hAnsi="宋体"/>
          <w:color w:val="auto"/>
          <w:szCs w:val="21"/>
          <w:highlight w:val="none"/>
        </w:rPr>
        <w:t>致：</w:t>
      </w:r>
      <w:r>
        <w:rPr>
          <w:rFonts w:hint="eastAsia" w:ascii="宋体" w:hAnsi="宋体"/>
          <w:color w:val="auto"/>
          <w:szCs w:val="21"/>
          <w:highlight w:val="none"/>
          <w:u w:val="single"/>
          <w:lang w:eastAsia="zh-CN"/>
        </w:rPr>
        <w:t>福建吉瑞招标代理有限公司</w:t>
      </w:r>
    </w:p>
    <w:p>
      <w:pPr>
        <w:spacing w:line="380" w:lineRule="exact"/>
        <w:rPr>
          <w:rFonts w:hint="eastAsia" w:ascii="宋体" w:hAnsi="宋体"/>
          <w:color w:val="auto"/>
          <w:szCs w:val="21"/>
          <w:highlight w:val="none"/>
        </w:rPr>
      </w:pPr>
      <w:r>
        <w:rPr>
          <w:rFonts w:ascii="宋体" w:hAnsi="宋体"/>
          <w:color w:val="auto"/>
          <w:szCs w:val="21"/>
          <w:highlight w:val="none"/>
        </w:rPr>
        <w:t xml:space="preserve">  </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我们在贵公司组织的</w:t>
      </w:r>
      <w:r>
        <w:rPr>
          <w:rFonts w:ascii="宋体" w:hAnsi="宋体"/>
          <w:color w:val="auto"/>
          <w:szCs w:val="21"/>
          <w:highlight w:val="none"/>
          <w:u w:val="single"/>
        </w:rPr>
        <w:t xml:space="preserve">                           </w:t>
      </w:r>
      <w:r>
        <w:rPr>
          <w:rFonts w:hint="eastAsia" w:ascii="宋体" w:hAnsi="宋体"/>
          <w:color w:val="auto"/>
          <w:szCs w:val="21"/>
          <w:highlight w:val="none"/>
        </w:rPr>
        <w:t>项目招标中投标（项目编号：</w:t>
      </w:r>
      <w:r>
        <w:rPr>
          <w:rFonts w:ascii="宋体" w:hAnsi="宋体"/>
          <w:color w:val="auto"/>
          <w:szCs w:val="21"/>
          <w:highlight w:val="none"/>
          <w:u w:val="single"/>
        </w:rPr>
        <w:t xml:space="preserve">          </w:t>
      </w:r>
      <w:r>
        <w:rPr>
          <w:rFonts w:hint="eastAsia" w:ascii="宋体" w:hAnsi="宋体"/>
          <w:color w:val="auto"/>
          <w:szCs w:val="21"/>
          <w:highlight w:val="none"/>
        </w:rPr>
        <w:t>），如获中标，我们保证按招标文件的规定，以支票、汇票、电汇、现金或经贵公司认可的其他付款方式，向贵公司缴交招标服务费。</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我方如违反上述承诺，所提交的上述项目的投标保证金将不予退还我方，我方对此无异议。</w:t>
      </w:r>
    </w:p>
    <w:p>
      <w:pPr>
        <w:spacing w:line="380" w:lineRule="exact"/>
        <w:rPr>
          <w:rFonts w:ascii="宋体" w:hAnsi="宋体"/>
          <w:color w:val="auto"/>
          <w:szCs w:val="21"/>
          <w:highlight w:val="none"/>
        </w:rPr>
      </w:pP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特此承诺！</w:t>
      </w:r>
    </w:p>
    <w:p>
      <w:pPr>
        <w:spacing w:line="380" w:lineRule="exact"/>
        <w:rPr>
          <w:rFonts w:ascii="宋体" w:hAnsi="宋体"/>
          <w:color w:val="auto"/>
          <w:szCs w:val="21"/>
          <w:highlight w:val="none"/>
        </w:rPr>
      </w:pPr>
    </w:p>
    <w:p>
      <w:pPr>
        <w:spacing w:line="380" w:lineRule="exact"/>
        <w:rPr>
          <w:rFonts w:hint="eastAsia" w:ascii="宋体" w:hAnsi="宋体"/>
          <w:color w:val="auto"/>
          <w:szCs w:val="21"/>
          <w:highlight w:val="none"/>
          <w:u w:val="singl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投标人（全称并加盖公章）： </w:t>
      </w:r>
      <w:r>
        <w:rPr>
          <w:rFonts w:hint="eastAsia" w:ascii="宋体" w:hAnsi="宋体"/>
          <w:color w:val="auto"/>
          <w:szCs w:val="21"/>
          <w:highlight w:val="none"/>
          <w:u w:val="single"/>
        </w:rPr>
        <w:t xml:space="preserve">                            </w:t>
      </w:r>
    </w:p>
    <w:p>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投标人代表签字：</w:t>
      </w:r>
      <w:r>
        <w:rPr>
          <w:rFonts w:hint="eastAsia" w:ascii="宋体" w:hAnsi="宋体"/>
          <w:color w:val="auto"/>
          <w:szCs w:val="21"/>
          <w:highlight w:val="none"/>
          <w:u w:val="single"/>
        </w:rPr>
        <w:t xml:space="preserve">                                      </w:t>
      </w:r>
    </w:p>
    <w:p>
      <w:pPr>
        <w:spacing w:line="380" w:lineRule="exact"/>
        <w:ind w:firstLine="2940" w:firstLineChars="1400"/>
        <w:rPr>
          <w:rFonts w:hint="eastAsia" w:ascii="宋体" w:hAnsi="宋体"/>
          <w:color w:val="auto"/>
          <w:szCs w:val="21"/>
          <w:highlight w:val="none"/>
          <w:u w:val="single"/>
        </w:rPr>
      </w:pPr>
      <w:r>
        <w:rPr>
          <w:rFonts w:hint="eastAsia" w:ascii="宋体" w:hAnsi="宋体"/>
          <w:color w:val="auto"/>
          <w:szCs w:val="21"/>
          <w:highlight w:val="none"/>
        </w:rPr>
        <w:t>邮 编：</w:t>
      </w:r>
      <w:r>
        <w:rPr>
          <w:rFonts w:hint="eastAsia" w:ascii="宋体" w:hAnsi="宋体"/>
          <w:color w:val="auto"/>
          <w:szCs w:val="21"/>
          <w:highlight w:val="none"/>
          <w:u w:val="single"/>
        </w:rPr>
        <w:t xml:space="preserve">                        </w:t>
      </w:r>
      <w:r>
        <w:rPr>
          <w:rFonts w:hint="eastAsia" w:ascii="宋体" w:hAnsi="宋体"/>
          <w:color w:val="auto"/>
          <w:szCs w:val="21"/>
          <w:highlight w:val="none"/>
        </w:rPr>
        <w:t>电 话：</w:t>
      </w:r>
      <w:r>
        <w:rPr>
          <w:rFonts w:hint="eastAsia" w:ascii="宋体" w:hAnsi="宋体"/>
          <w:color w:val="auto"/>
          <w:szCs w:val="21"/>
          <w:highlight w:val="none"/>
          <w:u w:val="single"/>
        </w:rPr>
        <w:t xml:space="preserve">                </w:t>
      </w:r>
    </w:p>
    <w:p>
      <w:pPr>
        <w:spacing w:line="380" w:lineRule="exact"/>
        <w:rPr>
          <w:rFonts w:hint="eastAsia" w:hAnsi="宋体"/>
          <w:color w:val="auto"/>
          <w:szCs w:val="21"/>
          <w:highlight w:val="none"/>
          <w:u w:val="single"/>
        </w:rPr>
      </w:pPr>
      <w:r>
        <w:rPr>
          <w:rFonts w:hint="eastAsia" w:ascii="宋体" w:hAnsi="宋体"/>
          <w:color w:val="auto"/>
          <w:szCs w:val="21"/>
          <w:highlight w:val="none"/>
        </w:rPr>
        <w:t xml:space="preserve">                            传 真：</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期： </w:t>
      </w:r>
      <w:r>
        <w:rPr>
          <w:rFonts w:hint="eastAsia" w:ascii="宋体" w:hAnsi="宋体"/>
          <w:color w:val="auto"/>
          <w:szCs w:val="21"/>
          <w:highlight w:val="none"/>
          <w:u w:val="single"/>
        </w:rPr>
        <w:t xml:space="preserve">               </w:t>
      </w:r>
    </w:p>
    <w:p>
      <w:pPr>
        <w:pStyle w:val="9"/>
        <w:snapToGrid w:val="0"/>
        <w:spacing w:line="440" w:lineRule="exact"/>
        <w:ind w:firstLine="564"/>
        <w:rPr>
          <w:rFonts w:hint="eastAsia" w:hAnsi="宋体"/>
          <w:color w:val="auto"/>
          <w:szCs w:val="21"/>
          <w:highlight w:val="none"/>
          <w:u w:val="single"/>
        </w:rPr>
      </w:pPr>
    </w:p>
    <w:p>
      <w:pPr>
        <w:spacing w:line="360" w:lineRule="auto"/>
        <w:jc w:val="center"/>
        <w:rPr>
          <w:rFonts w:hint="eastAsia" w:ascii="宋体" w:hAnsi="宋体"/>
          <w:b/>
          <w:color w:val="auto"/>
          <w:szCs w:val="21"/>
          <w:highlight w:val="none"/>
        </w:rPr>
      </w:pPr>
      <w:r>
        <w:rPr>
          <w:rFonts w:hint="eastAsia" w:ascii="宋体" w:hAnsi="宋体"/>
          <w:b/>
          <w:color w:val="auto"/>
          <w:spacing w:val="20"/>
          <w:szCs w:val="21"/>
          <w:highlight w:val="none"/>
        </w:rPr>
        <w:t>招标代理服务收费标准</w:t>
      </w:r>
    </w:p>
    <w:p>
      <w:pPr>
        <w:spacing w:line="360" w:lineRule="auto"/>
        <w:ind w:firstLine="420"/>
        <w:textAlignment w:val="baseline"/>
        <w:rPr>
          <w:rFonts w:hint="eastAsia" w:ascii="宋体" w:hAnsi="宋体"/>
          <w:color w:val="auto"/>
          <w:spacing w:val="20"/>
          <w:szCs w:val="21"/>
          <w:highlight w:val="none"/>
        </w:rPr>
      </w:pPr>
      <w:r>
        <w:rPr>
          <w:rFonts w:hint="eastAsia" w:ascii="宋体" w:hAnsi="宋体"/>
          <w:color w:val="auto"/>
          <w:spacing w:val="20"/>
          <w:szCs w:val="21"/>
          <w:highlight w:val="none"/>
        </w:rPr>
        <w:t xml:space="preserve"> 按国家计委“计价格</w:t>
      </w:r>
      <w:r>
        <w:rPr>
          <w:rFonts w:ascii="宋体" w:hAnsi="宋体"/>
          <w:color w:val="auto"/>
          <w:spacing w:val="20"/>
          <w:szCs w:val="21"/>
          <w:highlight w:val="none"/>
        </w:rPr>
        <w:t>（2002）1980</w:t>
      </w:r>
      <w:r>
        <w:rPr>
          <w:rFonts w:hint="eastAsia" w:ascii="宋体" w:hAnsi="宋体"/>
          <w:color w:val="auto"/>
          <w:spacing w:val="20"/>
          <w:szCs w:val="21"/>
          <w:highlight w:val="none"/>
        </w:rPr>
        <w:t>号”文件规定的招标项目收费标准如下：</w:t>
      </w:r>
    </w:p>
    <w:p>
      <w:pPr>
        <w:spacing w:line="360" w:lineRule="auto"/>
        <w:rPr>
          <w:rFonts w:hint="eastAsia" w:ascii="宋体" w:hAnsi="宋体"/>
          <w:color w:val="auto"/>
          <w:spacing w:val="28"/>
          <w:szCs w:val="21"/>
          <w:highlight w:val="none"/>
        </w:rPr>
      </w:pPr>
      <w:r>
        <w:rPr>
          <w:rFonts w:hint="eastAsia" w:ascii="宋体" w:hAnsi="宋体"/>
          <w:color w:val="auto"/>
          <w:szCs w:val="21"/>
          <w:highlight w:val="none"/>
        </w:rPr>
        <w:t>注：招标代理服务收费按差额定率累进法计算。</w:t>
      </w:r>
    </w:p>
    <w:p>
      <w:pPr>
        <w:rPr>
          <w:rFonts w:ascii="宋体" w:hAnsi="宋体"/>
          <w:color w:val="auto"/>
          <w:szCs w:val="21"/>
          <w:highlight w:val="none"/>
        </w:rPr>
      </w:pPr>
      <w:r>
        <w:rPr>
          <w:rFonts w:ascii="宋体" w:hAnsi="宋体"/>
          <w:color w:val="auto"/>
          <w:szCs w:val="21"/>
          <w:highlight w:val="none"/>
        </w:rPr>
        <w:t xml:space="preserve">      </w:t>
      </w:r>
    </w:p>
    <w:tbl>
      <w:tblPr>
        <w:tblStyle w:val="14"/>
        <w:tblpPr w:leftFromText="182" w:rightFromText="182" w:vertAnchor="text" w:horzAnchor="page" w:tblpXSpec="center" w:tblpY="11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289"/>
        <w:gridCol w:w="1815"/>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5" w:hRule="atLeast"/>
          <w:jc w:val="center"/>
        </w:trPr>
        <w:tc>
          <w:tcPr>
            <w:tcW w:w="3289" w:type="dxa"/>
            <w:noWrap w:val="0"/>
            <w:vAlign w:val="top"/>
          </w:tcPr>
          <w:p>
            <w:pPr>
              <w:rPr>
                <w:rFonts w:hint="eastAsia" w:ascii="宋体" w:hAnsi="宋体"/>
                <w:color w:val="auto"/>
                <w:szCs w:val="21"/>
                <w:highlight w:val="none"/>
              </w:rPr>
            </w:pPr>
            <w:r>
              <w:rPr>
                <w:rFonts w:ascii="宋体" w:hAnsi="宋体"/>
                <w:color w:val="auto"/>
                <w:szCs w:val="21"/>
                <w:highlight w:val="none"/>
              </w:rPr>
              <mc:AlternateContent>
                <mc:Choice Requires="wps">
                  <w:drawing>
                    <wp:anchor distT="0" distB="0" distL="114300" distR="114300" simplePos="0" relativeHeight="251660288" behindDoc="0" locked="0" layoutInCell="1" allowOverlap="1">
                      <wp:simplePos x="0" y="0"/>
                      <wp:positionH relativeFrom="column">
                        <wp:posOffset>33020</wp:posOffset>
                      </wp:positionH>
                      <wp:positionV relativeFrom="paragraph">
                        <wp:posOffset>3810</wp:posOffset>
                      </wp:positionV>
                      <wp:extent cx="1419860" cy="988060"/>
                      <wp:effectExtent l="2540" t="3810" r="6350" b="17780"/>
                      <wp:wrapNone/>
                      <wp:docPr id="1" name="直接连接符 1"/>
                      <wp:cNvGraphicFramePr/>
                      <a:graphic xmlns:a="http://schemas.openxmlformats.org/drawingml/2006/main">
                        <a:graphicData uri="http://schemas.microsoft.com/office/word/2010/wordprocessingShape">
                          <wps:wsp>
                            <wps:cNvCnPr/>
                            <wps:spPr>
                              <a:xfrm>
                                <a:off x="0" y="0"/>
                                <a:ext cx="1419860" cy="988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pt;margin-top:0.3pt;height:77.8pt;width:111.8pt;z-index:251660288;mso-width-relative:page;mso-height-relative:page;" filled="f" stroked="t" coordsize="21600,21600" o:gfxdata="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BKTIHfUAAAABgEAAA8AAAAAAAAAAQAgAAAAOAAA&#10;AGRycy9kb3ducmV2LnhtbFBLAQIUABQAAAAIAIdO4kBbFRX39gEAAOkDAAAOAAAAAAAAAAEAIAAA&#10;ADkBAABkcnMvZTJvRG9jLnhtbFBLBQYAAAAABgAGAFkBAAChBQAAAAA=&#10;">
                      <v:fill on="f" focussize="0,0"/>
                      <v:stroke color="#000000" joinstyle="round"/>
                      <v:imagedata o:title=""/>
                      <o:lock v:ext="edit" aspectratio="f"/>
                    </v:line>
                  </w:pict>
                </mc:Fallback>
              </mc:AlternateContent>
            </w:r>
            <w:r>
              <w:rPr>
                <w:rFonts w:ascii="宋体" w:hAnsi="宋体"/>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58420</wp:posOffset>
                      </wp:positionH>
                      <wp:positionV relativeFrom="paragraph">
                        <wp:posOffset>16510</wp:posOffset>
                      </wp:positionV>
                      <wp:extent cx="1988185" cy="633095"/>
                      <wp:effectExtent l="1270" t="4445" r="10795" b="10160"/>
                      <wp:wrapNone/>
                      <wp:docPr id="3" name="直接连接符 3"/>
                      <wp:cNvGraphicFramePr/>
                      <a:graphic xmlns:a="http://schemas.openxmlformats.org/drawingml/2006/main">
                        <a:graphicData uri="http://schemas.microsoft.com/office/word/2010/wordprocessingShape">
                          <wps:wsp>
                            <wps:cNvCnPr/>
                            <wps:spPr>
                              <a:xfrm>
                                <a:off x="0" y="0"/>
                                <a:ext cx="1988185" cy="6330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6pt;margin-top:1.3pt;height:49.85pt;width:156.55pt;z-index:251659264;mso-width-relative:page;mso-height-relative:page;" filled="f" stroked="t" coordsize="21600,21600" o:gfxdata="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N0LhMNQAAAAHAQAADwAAAAAAAAABACAAAAA4&#10;AAAAZHJzL2Rvd25yZXYueG1sUEsBAhQAFAAAAAgAh07iQAQLgOL4AQAA6QMAAA4AAAAAAAAAAQAg&#10;AAAAOQEAAGRycy9lMm9Eb2MueG1sUEsFBgAAAAAGAAYAWQEAAKMFAAAAAA==&#10;">
                      <v:fill on="f" focussize="0,0"/>
                      <v:stroke color="#000000" joinstyle="round"/>
                      <v:imagedata o:title=""/>
                      <o:lock v:ext="edit" aspectratio="f"/>
                    </v:line>
                  </w:pict>
                </mc:Fallback>
              </mc:AlternateContent>
            </w:r>
            <w:r>
              <w:rPr>
                <w:rFonts w:ascii="宋体" w:hAnsi="宋体"/>
                <w:color w:val="auto"/>
                <w:szCs w:val="21"/>
                <w:highlight w:val="none"/>
              </w:rPr>
              <w:t xml:space="preserve">             </w:t>
            </w:r>
            <w:r>
              <w:rPr>
                <w:rFonts w:hint="eastAsia" w:ascii="宋体" w:hAnsi="宋体"/>
                <w:color w:val="auto"/>
                <w:szCs w:val="21"/>
                <w:highlight w:val="none"/>
              </w:rPr>
              <w:t>服务类型</w:t>
            </w:r>
          </w:p>
          <w:p>
            <w:pPr>
              <w:rPr>
                <w:rFonts w:hint="eastAsia" w:ascii="宋体" w:hAnsi="宋体"/>
                <w:color w:val="auto"/>
                <w:szCs w:val="21"/>
                <w:highlight w:val="none"/>
              </w:rPr>
            </w:pPr>
          </w:p>
          <w:p>
            <w:pPr>
              <w:rPr>
                <w:rFonts w:hint="eastAsia"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费</w:t>
            </w:r>
          </w:p>
          <w:p>
            <w:pPr>
              <w:rPr>
                <w:rFonts w:hint="eastAsia"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率</w:t>
            </w:r>
          </w:p>
          <w:p>
            <w:pPr>
              <w:rPr>
                <w:rFonts w:ascii="宋体" w:hAnsi="宋体"/>
                <w:color w:val="auto"/>
                <w:szCs w:val="21"/>
                <w:highlight w:val="none"/>
              </w:rPr>
            </w:pPr>
            <w:r>
              <w:rPr>
                <w:rFonts w:hint="eastAsia" w:ascii="宋体" w:hAnsi="宋体"/>
                <w:color w:val="auto"/>
                <w:szCs w:val="21"/>
                <w:highlight w:val="none"/>
              </w:rPr>
              <w:t>中标金额（万元）</w:t>
            </w:r>
          </w:p>
        </w:tc>
        <w:tc>
          <w:tcPr>
            <w:tcW w:w="1815"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货 物 招 标</w:t>
            </w:r>
          </w:p>
        </w:tc>
        <w:tc>
          <w:tcPr>
            <w:tcW w:w="2006"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服 务 招 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8" w:hRule="atLeast"/>
          <w:jc w:val="center"/>
        </w:trPr>
        <w:tc>
          <w:tcPr>
            <w:tcW w:w="3289" w:type="dxa"/>
            <w:noWrap w:val="0"/>
            <w:vAlign w:val="center"/>
          </w:tcPr>
          <w:p>
            <w:pPr>
              <w:jc w:val="center"/>
              <w:rPr>
                <w:rFonts w:ascii="宋体" w:hAnsi="宋体"/>
                <w:color w:val="auto"/>
                <w:szCs w:val="21"/>
                <w:highlight w:val="none"/>
              </w:rPr>
            </w:pPr>
            <w:r>
              <w:rPr>
                <w:rFonts w:ascii="宋体" w:hAnsi="宋体"/>
                <w:color w:val="auto"/>
                <w:szCs w:val="21"/>
                <w:highlight w:val="none"/>
              </w:rPr>
              <w:t>100</w:t>
            </w:r>
            <w:r>
              <w:rPr>
                <w:rFonts w:hint="eastAsia" w:ascii="宋体" w:hAnsi="宋体"/>
                <w:color w:val="auto"/>
                <w:szCs w:val="21"/>
                <w:highlight w:val="none"/>
              </w:rPr>
              <w:t>以下</w:t>
            </w:r>
          </w:p>
        </w:tc>
        <w:tc>
          <w:tcPr>
            <w:tcW w:w="1815" w:type="dxa"/>
            <w:noWrap w:val="0"/>
            <w:vAlign w:val="center"/>
          </w:tcPr>
          <w:p>
            <w:pPr>
              <w:jc w:val="center"/>
              <w:rPr>
                <w:rFonts w:ascii="宋体" w:hAnsi="宋体"/>
                <w:color w:val="auto"/>
                <w:szCs w:val="21"/>
                <w:highlight w:val="none"/>
              </w:rPr>
            </w:pPr>
            <w:r>
              <w:rPr>
                <w:rFonts w:ascii="宋体" w:hAnsi="宋体"/>
                <w:color w:val="auto"/>
                <w:szCs w:val="21"/>
                <w:highlight w:val="none"/>
              </w:rPr>
              <w:t>1.5%</w:t>
            </w:r>
          </w:p>
        </w:tc>
        <w:tc>
          <w:tcPr>
            <w:tcW w:w="2006" w:type="dxa"/>
            <w:noWrap w:val="0"/>
            <w:vAlign w:val="center"/>
          </w:tcPr>
          <w:p>
            <w:pPr>
              <w:jc w:val="center"/>
              <w:rPr>
                <w:rFonts w:ascii="宋体" w:hAnsi="宋体"/>
                <w:color w:val="auto"/>
                <w:szCs w:val="21"/>
                <w:highlight w:val="none"/>
              </w:rPr>
            </w:pPr>
            <w:r>
              <w:rPr>
                <w:rFonts w:ascii="宋体" w:hAnsi="宋体"/>
                <w:color w:val="auto"/>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8" w:hRule="atLeast"/>
          <w:jc w:val="center"/>
        </w:trPr>
        <w:tc>
          <w:tcPr>
            <w:tcW w:w="3289" w:type="dxa"/>
            <w:noWrap w:val="0"/>
            <w:vAlign w:val="center"/>
          </w:tcPr>
          <w:p>
            <w:pPr>
              <w:jc w:val="center"/>
              <w:rPr>
                <w:rFonts w:ascii="宋体" w:hAnsi="宋体"/>
                <w:color w:val="auto"/>
                <w:szCs w:val="21"/>
                <w:highlight w:val="none"/>
              </w:rPr>
            </w:pPr>
            <w:r>
              <w:rPr>
                <w:rFonts w:ascii="宋体" w:hAnsi="宋体"/>
                <w:color w:val="auto"/>
                <w:szCs w:val="21"/>
                <w:highlight w:val="none"/>
              </w:rPr>
              <w:t>100-500</w:t>
            </w:r>
          </w:p>
        </w:tc>
        <w:tc>
          <w:tcPr>
            <w:tcW w:w="1815" w:type="dxa"/>
            <w:noWrap w:val="0"/>
            <w:vAlign w:val="center"/>
          </w:tcPr>
          <w:p>
            <w:pPr>
              <w:jc w:val="center"/>
              <w:rPr>
                <w:rFonts w:ascii="宋体" w:hAnsi="宋体"/>
                <w:color w:val="auto"/>
                <w:szCs w:val="21"/>
                <w:highlight w:val="none"/>
              </w:rPr>
            </w:pPr>
            <w:r>
              <w:rPr>
                <w:rFonts w:ascii="宋体" w:hAnsi="宋体"/>
                <w:color w:val="auto"/>
                <w:szCs w:val="21"/>
                <w:highlight w:val="none"/>
              </w:rPr>
              <w:t>1.1%</w:t>
            </w:r>
          </w:p>
        </w:tc>
        <w:tc>
          <w:tcPr>
            <w:tcW w:w="2006" w:type="dxa"/>
            <w:noWrap w:val="0"/>
            <w:vAlign w:val="center"/>
          </w:tcPr>
          <w:p>
            <w:pPr>
              <w:jc w:val="center"/>
              <w:rPr>
                <w:rFonts w:ascii="宋体" w:hAnsi="宋体"/>
                <w:color w:val="auto"/>
                <w:szCs w:val="21"/>
                <w:highlight w:val="none"/>
              </w:rPr>
            </w:pPr>
            <w:r>
              <w:rPr>
                <w:rFonts w:ascii="宋体" w:hAnsi="宋体"/>
                <w:color w:val="auto"/>
                <w:szCs w:val="21"/>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8" w:hRule="atLeast"/>
          <w:jc w:val="center"/>
        </w:trPr>
        <w:tc>
          <w:tcPr>
            <w:tcW w:w="3289" w:type="dxa"/>
            <w:noWrap w:val="0"/>
            <w:vAlign w:val="center"/>
          </w:tcPr>
          <w:p>
            <w:pPr>
              <w:jc w:val="center"/>
              <w:rPr>
                <w:rFonts w:ascii="宋体" w:hAnsi="宋体"/>
                <w:color w:val="auto"/>
                <w:szCs w:val="21"/>
                <w:highlight w:val="none"/>
              </w:rPr>
            </w:pPr>
            <w:r>
              <w:rPr>
                <w:rFonts w:ascii="宋体" w:hAnsi="宋体"/>
                <w:color w:val="auto"/>
                <w:szCs w:val="21"/>
                <w:highlight w:val="none"/>
              </w:rPr>
              <w:t>500-1000</w:t>
            </w:r>
          </w:p>
        </w:tc>
        <w:tc>
          <w:tcPr>
            <w:tcW w:w="1815" w:type="dxa"/>
            <w:noWrap w:val="0"/>
            <w:vAlign w:val="center"/>
          </w:tcPr>
          <w:p>
            <w:pPr>
              <w:jc w:val="center"/>
              <w:rPr>
                <w:rFonts w:ascii="宋体" w:hAnsi="宋体"/>
                <w:color w:val="auto"/>
                <w:szCs w:val="21"/>
                <w:highlight w:val="none"/>
              </w:rPr>
            </w:pPr>
            <w:r>
              <w:rPr>
                <w:rFonts w:ascii="宋体" w:hAnsi="宋体"/>
                <w:color w:val="auto"/>
                <w:szCs w:val="21"/>
                <w:highlight w:val="none"/>
              </w:rPr>
              <w:t>0.8%</w:t>
            </w:r>
          </w:p>
        </w:tc>
        <w:tc>
          <w:tcPr>
            <w:tcW w:w="2006" w:type="dxa"/>
            <w:noWrap w:val="0"/>
            <w:vAlign w:val="center"/>
          </w:tcPr>
          <w:p>
            <w:pPr>
              <w:jc w:val="center"/>
              <w:rPr>
                <w:rFonts w:ascii="宋体" w:hAnsi="宋体"/>
                <w:color w:val="auto"/>
                <w:szCs w:val="21"/>
                <w:highlight w:val="none"/>
              </w:rPr>
            </w:pPr>
            <w:r>
              <w:rPr>
                <w:rFonts w:ascii="宋体" w:hAnsi="宋体"/>
                <w:color w:val="auto"/>
                <w:szCs w:val="21"/>
                <w:highlight w:val="none"/>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8" w:hRule="atLeast"/>
          <w:jc w:val="center"/>
        </w:trPr>
        <w:tc>
          <w:tcPr>
            <w:tcW w:w="3289" w:type="dxa"/>
            <w:noWrap w:val="0"/>
            <w:vAlign w:val="center"/>
          </w:tcPr>
          <w:p>
            <w:pPr>
              <w:jc w:val="center"/>
              <w:rPr>
                <w:rFonts w:ascii="宋体" w:hAnsi="宋体"/>
                <w:color w:val="auto"/>
                <w:szCs w:val="21"/>
                <w:highlight w:val="none"/>
              </w:rPr>
            </w:pPr>
            <w:r>
              <w:rPr>
                <w:rFonts w:ascii="宋体" w:hAnsi="宋体"/>
                <w:color w:val="auto"/>
                <w:szCs w:val="21"/>
                <w:highlight w:val="none"/>
              </w:rPr>
              <w:t>1000-5000</w:t>
            </w:r>
          </w:p>
        </w:tc>
        <w:tc>
          <w:tcPr>
            <w:tcW w:w="1815" w:type="dxa"/>
            <w:noWrap w:val="0"/>
            <w:vAlign w:val="center"/>
          </w:tcPr>
          <w:p>
            <w:pPr>
              <w:jc w:val="center"/>
              <w:rPr>
                <w:rFonts w:ascii="宋体" w:hAnsi="宋体"/>
                <w:color w:val="auto"/>
                <w:szCs w:val="21"/>
                <w:highlight w:val="none"/>
              </w:rPr>
            </w:pPr>
            <w:r>
              <w:rPr>
                <w:rFonts w:ascii="宋体" w:hAnsi="宋体"/>
                <w:color w:val="auto"/>
                <w:szCs w:val="21"/>
                <w:highlight w:val="none"/>
              </w:rPr>
              <w:t>0.5%</w:t>
            </w:r>
          </w:p>
        </w:tc>
        <w:tc>
          <w:tcPr>
            <w:tcW w:w="2006" w:type="dxa"/>
            <w:noWrap w:val="0"/>
            <w:vAlign w:val="center"/>
          </w:tcPr>
          <w:p>
            <w:pPr>
              <w:jc w:val="center"/>
              <w:rPr>
                <w:rFonts w:ascii="宋体" w:hAnsi="宋体"/>
                <w:color w:val="auto"/>
                <w:szCs w:val="21"/>
                <w:highlight w:val="none"/>
              </w:rPr>
            </w:pPr>
            <w:r>
              <w:rPr>
                <w:rFonts w:ascii="宋体" w:hAnsi="宋体"/>
                <w:color w:val="auto"/>
                <w:szCs w:val="21"/>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8" w:hRule="atLeast"/>
          <w:jc w:val="center"/>
        </w:trPr>
        <w:tc>
          <w:tcPr>
            <w:tcW w:w="3289" w:type="dxa"/>
            <w:noWrap w:val="0"/>
            <w:vAlign w:val="center"/>
          </w:tcPr>
          <w:p>
            <w:pPr>
              <w:jc w:val="center"/>
              <w:rPr>
                <w:rFonts w:ascii="宋体" w:hAnsi="宋体"/>
                <w:color w:val="auto"/>
                <w:szCs w:val="21"/>
                <w:highlight w:val="none"/>
              </w:rPr>
            </w:pPr>
            <w:r>
              <w:rPr>
                <w:rFonts w:ascii="宋体" w:hAnsi="宋体"/>
                <w:color w:val="auto"/>
                <w:szCs w:val="21"/>
                <w:highlight w:val="none"/>
              </w:rPr>
              <w:t>5000-10000</w:t>
            </w:r>
          </w:p>
        </w:tc>
        <w:tc>
          <w:tcPr>
            <w:tcW w:w="1815" w:type="dxa"/>
            <w:noWrap w:val="0"/>
            <w:vAlign w:val="center"/>
          </w:tcPr>
          <w:p>
            <w:pPr>
              <w:jc w:val="center"/>
              <w:rPr>
                <w:rFonts w:ascii="宋体" w:hAnsi="宋体"/>
                <w:color w:val="auto"/>
                <w:szCs w:val="21"/>
                <w:highlight w:val="none"/>
              </w:rPr>
            </w:pPr>
            <w:r>
              <w:rPr>
                <w:rFonts w:ascii="宋体" w:hAnsi="宋体"/>
                <w:color w:val="auto"/>
                <w:szCs w:val="21"/>
                <w:highlight w:val="none"/>
              </w:rPr>
              <w:t>0.25%</w:t>
            </w:r>
          </w:p>
        </w:tc>
        <w:tc>
          <w:tcPr>
            <w:tcW w:w="2006" w:type="dxa"/>
            <w:noWrap w:val="0"/>
            <w:vAlign w:val="center"/>
          </w:tcPr>
          <w:p>
            <w:pPr>
              <w:jc w:val="center"/>
              <w:rPr>
                <w:rFonts w:ascii="宋体" w:hAnsi="宋体"/>
                <w:color w:val="auto"/>
                <w:szCs w:val="21"/>
                <w:highlight w:val="none"/>
              </w:rPr>
            </w:pPr>
            <w:r>
              <w:rPr>
                <w:rFonts w:ascii="宋体" w:hAnsi="宋体"/>
                <w:color w:val="auto"/>
                <w:szCs w:val="21"/>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8" w:hRule="atLeast"/>
          <w:jc w:val="center"/>
        </w:trPr>
        <w:tc>
          <w:tcPr>
            <w:tcW w:w="3289" w:type="dxa"/>
            <w:noWrap w:val="0"/>
            <w:vAlign w:val="center"/>
          </w:tcPr>
          <w:p>
            <w:pPr>
              <w:jc w:val="center"/>
              <w:rPr>
                <w:rFonts w:ascii="宋体" w:hAnsi="宋体"/>
                <w:color w:val="auto"/>
                <w:szCs w:val="21"/>
                <w:highlight w:val="none"/>
              </w:rPr>
            </w:pPr>
            <w:r>
              <w:rPr>
                <w:rFonts w:ascii="宋体" w:hAnsi="宋体"/>
                <w:color w:val="auto"/>
                <w:szCs w:val="21"/>
                <w:highlight w:val="none"/>
              </w:rPr>
              <w:t>10000-100000</w:t>
            </w:r>
          </w:p>
        </w:tc>
        <w:tc>
          <w:tcPr>
            <w:tcW w:w="1815" w:type="dxa"/>
            <w:noWrap w:val="0"/>
            <w:vAlign w:val="center"/>
          </w:tcPr>
          <w:p>
            <w:pPr>
              <w:jc w:val="center"/>
              <w:rPr>
                <w:rFonts w:ascii="宋体" w:hAnsi="宋体"/>
                <w:color w:val="auto"/>
                <w:szCs w:val="21"/>
                <w:highlight w:val="none"/>
              </w:rPr>
            </w:pPr>
            <w:r>
              <w:rPr>
                <w:rFonts w:ascii="宋体" w:hAnsi="宋体"/>
                <w:color w:val="auto"/>
                <w:szCs w:val="21"/>
                <w:highlight w:val="none"/>
              </w:rPr>
              <w:t>0.05%</w:t>
            </w:r>
          </w:p>
        </w:tc>
        <w:tc>
          <w:tcPr>
            <w:tcW w:w="2006" w:type="dxa"/>
            <w:noWrap w:val="0"/>
            <w:vAlign w:val="center"/>
          </w:tcPr>
          <w:p>
            <w:pPr>
              <w:jc w:val="center"/>
              <w:rPr>
                <w:rFonts w:ascii="宋体" w:hAnsi="宋体"/>
                <w:color w:val="auto"/>
                <w:szCs w:val="21"/>
                <w:highlight w:val="none"/>
              </w:rPr>
            </w:pPr>
            <w:r>
              <w:rPr>
                <w:rFonts w:ascii="宋体" w:hAnsi="宋体"/>
                <w:color w:val="auto"/>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8" w:hRule="atLeast"/>
          <w:jc w:val="center"/>
        </w:trPr>
        <w:tc>
          <w:tcPr>
            <w:tcW w:w="3289" w:type="dxa"/>
            <w:noWrap w:val="0"/>
            <w:vAlign w:val="center"/>
          </w:tcPr>
          <w:p>
            <w:pPr>
              <w:jc w:val="center"/>
              <w:rPr>
                <w:rFonts w:ascii="宋体" w:hAnsi="宋体"/>
                <w:color w:val="auto"/>
                <w:szCs w:val="21"/>
                <w:highlight w:val="none"/>
              </w:rPr>
            </w:pPr>
            <w:r>
              <w:rPr>
                <w:rFonts w:ascii="宋体" w:hAnsi="宋体"/>
                <w:color w:val="auto"/>
                <w:szCs w:val="21"/>
                <w:highlight w:val="none"/>
              </w:rPr>
              <w:t>1000000</w:t>
            </w:r>
            <w:r>
              <w:rPr>
                <w:rFonts w:hint="eastAsia" w:ascii="宋体" w:hAnsi="宋体"/>
                <w:color w:val="auto"/>
                <w:szCs w:val="21"/>
                <w:highlight w:val="none"/>
              </w:rPr>
              <w:t>以上</w:t>
            </w:r>
          </w:p>
        </w:tc>
        <w:tc>
          <w:tcPr>
            <w:tcW w:w="1815" w:type="dxa"/>
            <w:noWrap w:val="0"/>
            <w:vAlign w:val="center"/>
          </w:tcPr>
          <w:p>
            <w:pPr>
              <w:jc w:val="center"/>
              <w:rPr>
                <w:rFonts w:ascii="宋体" w:hAnsi="宋体"/>
                <w:color w:val="auto"/>
                <w:szCs w:val="21"/>
                <w:highlight w:val="none"/>
              </w:rPr>
            </w:pPr>
            <w:r>
              <w:rPr>
                <w:rFonts w:ascii="宋体" w:hAnsi="宋体"/>
                <w:color w:val="auto"/>
                <w:szCs w:val="21"/>
                <w:highlight w:val="none"/>
              </w:rPr>
              <w:t>0.01%</w:t>
            </w:r>
          </w:p>
        </w:tc>
        <w:tc>
          <w:tcPr>
            <w:tcW w:w="2006" w:type="dxa"/>
            <w:noWrap w:val="0"/>
            <w:vAlign w:val="center"/>
          </w:tcPr>
          <w:p>
            <w:pPr>
              <w:jc w:val="center"/>
              <w:rPr>
                <w:rFonts w:ascii="宋体" w:hAnsi="宋体"/>
                <w:color w:val="auto"/>
                <w:szCs w:val="21"/>
                <w:highlight w:val="none"/>
              </w:rPr>
            </w:pPr>
            <w:r>
              <w:rPr>
                <w:rFonts w:ascii="宋体" w:hAnsi="宋体"/>
                <w:color w:val="auto"/>
                <w:szCs w:val="21"/>
                <w:highlight w:val="none"/>
              </w:rPr>
              <w:t>0.01%</w:t>
            </w:r>
          </w:p>
        </w:tc>
      </w:tr>
    </w:tbl>
    <w:p>
      <w:pPr>
        <w:pStyle w:val="22"/>
        <w:spacing w:line="240" w:lineRule="auto"/>
        <w:outlineLvl w:val="9"/>
        <w:rPr>
          <w:rFonts w:hAnsi="宋体"/>
          <w:color w:val="auto"/>
          <w:sz w:val="21"/>
          <w:szCs w:val="21"/>
          <w:highlight w:val="none"/>
        </w:rPr>
      </w:pPr>
    </w:p>
    <w:p>
      <w:pPr>
        <w:pStyle w:val="22"/>
        <w:spacing w:line="240" w:lineRule="auto"/>
        <w:outlineLvl w:val="9"/>
        <w:rPr>
          <w:rFonts w:hAnsi="宋体"/>
          <w:color w:val="auto"/>
          <w:sz w:val="21"/>
          <w:szCs w:val="21"/>
          <w:highlight w:val="none"/>
        </w:rPr>
      </w:pPr>
    </w:p>
    <w:p>
      <w:pPr>
        <w:pStyle w:val="9"/>
        <w:spacing w:line="0" w:lineRule="atLeast"/>
        <w:rPr>
          <w:rFonts w:hint="eastAsia" w:hAnsi="宋体"/>
          <w:color w:val="auto"/>
          <w:szCs w:val="21"/>
          <w:highlight w:val="none"/>
        </w:rPr>
      </w:pPr>
    </w:p>
    <w:p>
      <w:pPr>
        <w:pStyle w:val="9"/>
        <w:spacing w:line="0" w:lineRule="atLeast"/>
        <w:rPr>
          <w:rFonts w:hint="eastAsia" w:hAnsi="宋体"/>
          <w:color w:val="auto"/>
          <w:szCs w:val="21"/>
          <w:highlight w:val="none"/>
        </w:rPr>
      </w:pPr>
    </w:p>
    <w:p>
      <w:pPr>
        <w:pStyle w:val="9"/>
        <w:spacing w:line="0" w:lineRule="atLeast"/>
        <w:rPr>
          <w:rFonts w:hint="eastAsia" w:hAnsi="宋体"/>
          <w:color w:val="auto"/>
          <w:szCs w:val="21"/>
          <w:highlight w:val="none"/>
        </w:rPr>
      </w:pPr>
    </w:p>
    <w:p>
      <w:pPr>
        <w:pStyle w:val="9"/>
        <w:spacing w:line="0" w:lineRule="atLeast"/>
        <w:rPr>
          <w:rFonts w:hint="eastAsia" w:hAnsi="宋体"/>
          <w:color w:val="auto"/>
          <w:szCs w:val="21"/>
          <w:highlight w:val="none"/>
        </w:rPr>
      </w:pPr>
    </w:p>
    <w:p>
      <w:pPr>
        <w:pStyle w:val="9"/>
        <w:spacing w:line="0" w:lineRule="atLeast"/>
        <w:rPr>
          <w:rFonts w:hint="eastAsia" w:hAnsi="宋体"/>
          <w:color w:val="auto"/>
          <w:szCs w:val="21"/>
          <w:highlight w:val="none"/>
        </w:rPr>
      </w:pPr>
    </w:p>
    <w:p>
      <w:pPr>
        <w:pStyle w:val="9"/>
        <w:spacing w:line="0" w:lineRule="atLeast"/>
        <w:rPr>
          <w:rFonts w:hint="eastAsia" w:hAnsi="宋体"/>
          <w:color w:val="auto"/>
          <w:szCs w:val="21"/>
          <w:highlight w:val="none"/>
        </w:rPr>
      </w:pPr>
    </w:p>
    <w:p>
      <w:pPr>
        <w:pStyle w:val="9"/>
        <w:spacing w:line="0" w:lineRule="atLeast"/>
        <w:rPr>
          <w:rFonts w:hint="eastAsia" w:hAnsi="宋体"/>
          <w:color w:val="auto"/>
          <w:szCs w:val="21"/>
          <w:highlight w:val="none"/>
        </w:rPr>
      </w:pPr>
    </w:p>
    <w:p>
      <w:pPr>
        <w:pStyle w:val="9"/>
        <w:spacing w:line="0" w:lineRule="atLeast"/>
        <w:rPr>
          <w:rFonts w:hint="eastAsia" w:hAnsi="宋体"/>
          <w:color w:val="auto"/>
          <w:szCs w:val="21"/>
          <w:highlight w:val="none"/>
        </w:rPr>
      </w:pPr>
    </w:p>
    <w:p>
      <w:pPr>
        <w:pStyle w:val="9"/>
        <w:spacing w:line="0" w:lineRule="atLeast"/>
        <w:rPr>
          <w:rFonts w:hint="eastAsia" w:hAnsi="宋体"/>
          <w:color w:val="auto"/>
          <w:szCs w:val="21"/>
          <w:highlight w:val="none"/>
        </w:rPr>
      </w:pPr>
    </w:p>
    <w:p>
      <w:pPr>
        <w:pStyle w:val="9"/>
        <w:spacing w:line="0" w:lineRule="atLeast"/>
        <w:rPr>
          <w:rFonts w:hint="eastAsia" w:hAnsi="宋体"/>
          <w:color w:val="auto"/>
          <w:szCs w:val="21"/>
          <w:highlight w:val="none"/>
        </w:rPr>
      </w:pPr>
    </w:p>
    <w:p>
      <w:pPr>
        <w:pStyle w:val="9"/>
        <w:spacing w:line="0" w:lineRule="atLeast"/>
        <w:rPr>
          <w:rFonts w:hint="eastAsia" w:hAnsi="宋体"/>
          <w:color w:val="auto"/>
          <w:szCs w:val="21"/>
          <w:highlight w:val="none"/>
        </w:rPr>
      </w:pPr>
    </w:p>
    <w:p>
      <w:pPr>
        <w:pStyle w:val="9"/>
        <w:spacing w:line="0" w:lineRule="atLeast"/>
        <w:rPr>
          <w:rFonts w:hint="eastAsia" w:hAnsi="宋体"/>
          <w:color w:val="auto"/>
          <w:szCs w:val="21"/>
          <w:highlight w:val="none"/>
        </w:rPr>
      </w:pPr>
    </w:p>
    <w:p>
      <w:pPr>
        <w:pStyle w:val="22"/>
        <w:jc w:val="left"/>
        <w:rPr>
          <w:rFonts w:hAnsi="宋体"/>
          <w:color w:val="auto"/>
          <w:sz w:val="21"/>
          <w:szCs w:val="21"/>
          <w:highlight w:val="none"/>
        </w:rPr>
      </w:pPr>
      <w:bookmarkStart w:id="34" w:name="_Toc23015"/>
      <w:bookmarkStart w:id="35" w:name="_Toc20280"/>
      <w:bookmarkStart w:id="36" w:name="_Toc20852"/>
    </w:p>
    <w:p>
      <w:pPr>
        <w:pStyle w:val="22"/>
        <w:jc w:val="left"/>
        <w:rPr>
          <w:rFonts w:hAnsi="宋体"/>
          <w:color w:val="auto"/>
          <w:sz w:val="21"/>
          <w:szCs w:val="21"/>
          <w:highlight w:val="none"/>
        </w:rPr>
      </w:pPr>
    </w:p>
    <w:p>
      <w:pPr>
        <w:pStyle w:val="22"/>
        <w:jc w:val="left"/>
        <w:rPr>
          <w:rFonts w:hAnsi="宋体"/>
          <w:color w:val="auto"/>
          <w:sz w:val="21"/>
          <w:szCs w:val="21"/>
          <w:highlight w:val="none"/>
        </w:rPr>
      </w:pPr>
    </w:p>
    <w:p>
      <w:pPr>
        <w:pStyle w:val="22"/>
        <w:jc w:val="left"/>
        <w:rPr>
          <w:rFonts w:hAnsi="宋体"/>
          <w:color w:val="auto"/>
          <w:sz w:val="21"/>
          <w:szCs w:val="21"/>
          <w:highlight w:val="none"/>
        </w:rPr>
      </w:pPr>
    </w:p>
    <w:p>
      <w:pPr>
        <w:pStyle w:val="22"/>
        <w:jc w:val="left"/>
        <w:rPr>
          <w:rFonts w:hAnsi="宋体"/>
          <w:color w:val="auto"/>
          <w:sz w:val="21"/>
          <w:szCs w:val="21"/>
          <w:highlight w:val="none"/>
        </w:rPr>
      </w:pPr>
    </w:p>
    <w:p>
      <w:pPr>
        <w:pStyle w:val="22"/>
        <w:jc w:val="left"/>
        <w:rPr>
          <w:rFonts w:hAnsi="宋体"/>
          <w:color w:val="auto"/>
          <w:sz w:val="21"/>
          <w:szCs w:val="21"/>
          <w:highlight w:val="none"/>
        </w:rPr>
      </w:pPr>
      <w:r>
        <w:rPr>
          <w:rFonts w:hAnsi="宋体"/>
          <w:color w:val="auto"/>
          <w:sz w:val="21"/>
          <w:szCs w:val="21"/>
          <w:highlight w:val="none"/>
        </w:rPr>
        <w:t>附件11、</w:t>
      </w:r>
      <w:bookmarkEnd w:id="34"/>
      <w:bookmarkEnd w:id="35"/>
      <w:bookmarkEnd w:id="36"/>
      <w:bookmarkStart w:id="37" w:name="_Toc11806"/>
      <w:bookmarkStart w:id="38" w:name="_Toc32075"/>
    </w:p>
    <w:p>
      <w:pPr>
        <w:pStyle w:val="22"/>
        <w:jc w:val="center"/>
        <w:rPr>
          <w:rFonts w:hint="eastAsia" w:ascii="宋体" w:hAnsi="宋体"/>
          <w:b/>
          <w:color w:val="auto"/>
          <w:sz w:val="32"/>
          <w:szCs w:val="32"/>
          <w:highlight w:val="none"/>
        </w:rPr>
      </w:pPr>
      <w:r>
        <w:rPr>
          <w:rFonts w:ascii="宋体" w:hAnsi="宋体"/>
          <w:b/>
          <w:color w:val="auto"/>
          <w:sz w:val="32"/>
          <w:szCs w:val="32"/>
          <w:highlight w:val="none"/>
        </w:rPr>
        <w:t>退还</w:t>
      </w:r>
      <w:r>
        <w:rPr>
          <w:rFonts w:hint="eastAsia" w:ascii="宋体" w:hAnsi="宋体"/>
          <w:b/>
          <w:color w:val="auto"/>
          <w:sz w:val="32"/>
          <w:szCs w:val="32"/>
          <w:highlight w:val="none"/>
        </w:rPr>
        <w:t>投标</w:t>
      </w:r>
      <w:r>
        <w:rPr>
          <w:rFonts w:ascii="宋体" w:hAnsi="宋体"/>
          <w:b/>
          <w:color w:val="auto"/>
          <w:sz w:val="32"/>
          <w:szCs w:val="32"/>
          <w:highlight w:val="none"/>
        </w:rPr>
        <w:t>保证金</w:t>
      </w:r>
      <w:r>
        <w:rPr>
          <w:rFonts w:hint="eastAsia" w:ascii="宋体" w:hAnsi="宋体"/>
          <w:b/>
          <w:color w:val="auto"/>
          <w:sz w:val="32"/>
          <w:szCs w:val="32"/>
          <w:highlight w:val="none"/>
        </w:rPr>
        <w:t>说明</w:t>
      </w:r>
      <w:r>
        <w:rPr>
          <w:rFonts w:ascii="宋体" w:hAnsi="宋体"/>
          <w:b/>
          <w:color w:val="auto"/>
          <w:sz w:val="32"/>
          <w:szCs w:val="32"/>
          <w:highlight w:val="none"/>
        </w:rPr>
        <w:t>函</w:t>
      </w:r>
      <w:bookmarkEnd w:id="37"/>
      <w:bookmarkEnd w:id="38"/>
    </w:p>
    <w:p>
      <w:pPr>
        <w:widowControl/>
        <w:spacing w:line="500" w:lineRule="exact"/>
        <w:jc w:val="left"/>
        <w:rPr>
          <w:rFonts w:ascii="宋体" w:hAnsi="宋体" w:cs="宋体"/>
          <w:color w:val="auto"/>
          <w:kern w:val="0"/>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lang w:eastAsia="zh-CN"/>
        </w:rPr>
        <w:t>福建吉瑞招标代理有限公司</w:t>
      </w:r>
      <w:r>
        <w:rPr>
          <w:rFonts w:hint="eastAsia" w:ascii="宋体" w:hAnsi="宋体"/>
          <w:color w:val="auto"/>
          <w:szCs w:val="21"/>
          <w:highlight w:val="none"/>
        </w:rPr>
        <w:t>：</w:t>
      </w:r>
    </w:p>
    <w:p>
      <w:pPr>
        <w:widowControl/>
        <w:spacing w:line="500" w:lineRule="exact"/>
        <w:ind w:firstLine="420" w:firstLineChars="200"/>
        <w:jc w:val="left"/>
        <w:rPr>
          <w:rFonts w:hint="eastAsia" w:ascii="宋体" w:hAnsi="宋体"/>
          <w:color w:val="auto"/>
          <w:szCs w:val="21"/>
          <w:highlight w:val="none"/>
        </w:rPr>
      </w:pPr>
      <w:r>
        <w:rPr>
          <w:rFonts w:ascii="宋体" w:hAnsi="宋体"/>
          <w:color w:val="auto"/>
          <w:szCs w:val="21"/>
          <w:highlight w:val="none"/>
        </w:rPr>
        <w:t>兹有我公司参加贵公司</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w:t>
      </w:r>
      <w:r>
        <w:rPr>
          <w:rFonts w:ascii="宋体" w:hAnsi="宋体"/>
          <w:color w:val="auto"/>
          <w:szCs w:val="21"/>
          <w:highlight w:val="none"/>
        </w:rPr>
        <w:t>月</w:t>
      </w:r>
      <w:r>
        <w:rPr>
          <w:rFonts w:ascii="宋体" w:hAnsi="宋体"/>
          <w:color w:val="auto"/>
          <w:szCs w:val="21"/>
          <w:highlight w:val="none"/>
          <w:u w:val="single"/>
        </w:rPr>
        <w:t>    </w:t>
      </w:r>
      <w:r>
        <w:rPr>
          <w:rFonts w:ascii="宋体" w:hAnsi="宋体"/>
          <w:color w:val="auto"/>
          <w:szCs w:val="21"/>
          <w:highlight w:val="none"/>
        </w:rPr>
        <w:t>日（</w:t>
      </w:r>
      <w:r>
        <w:rPr>
          <w:rFonts w:hint="eastAsia" w:ascii="宋体" w:hAnsi="宋体"/>
          <w:color w:val="auto"/>
          <w:szCs w:val="21"/>
          <w:highlight w:val="none"/>
        </w:rPr>
        <w:t>开标</w:t>
      </w:r>
      <w:r>
        <w:rPr>
          <w:rFonts w:ascii="宋体" w:hAnsi="宋体"/>
          <w:color w:val="auto"/>
          <w:szCs w:val="21"/>
          <w:highlight w:val="none"/>
        </w:rPr>
        <w:t>时间）组织</w:t>
      </w:r>
      <w:r>
        <w:rPr>
          <w:rFonts w:hint="eastAsia" w:ascii="宋体" w:hAnsi="宋体"/>
          <w:color w:val="auto"/>
          <w:szCs w:val="21"/>
          <w:highlight w:val="none"/>
        </w:rPr>
        <w:t>公开招标</w:t>
      </w:r>
      <w:r>
        <w:rPr>
          <w:rFonts w:ascii="宋体" w:hAnsi="宋体"/>
          <w:color w:val="auto"/>
          <w:szCs w:val="21"/>
          <w:highlight w:val="none"/>
        </w:rPr>
        <w:t>的</w:t>
      </w:r>
      <w:r>
        <w:rPr>
          <w:rFonts w:hint="eastAsia"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项目</w:t>
      </w:r>
      <w:r>
        <w:rPr>
          <w:rFonts w:ascii="宋体" w:hAnsi="宋体"/>
          <w:color w:val="auto"/>
          <w:szCs w:val="21"/>
          <w:highlight w:val="none"/>
        </w:rPr>
        <w:t>编号）,</w:t>
      </w:r>
      <w:r>
        <w:rPr>
          <w:rFonts w:hint="eastAsia" w:ascii="宋体" w:hAnsi="宋体"/>
          <w:color w:val="auto"/>
          <w:szCs w:val="21"/>
          <w:highlight w:val="none"/>
          <w:u w:val="single"/>
        </w:rPr>
        <w:t xml:space="preserve">                     </w:t>
      </w:r>
      <w:r>
        <w:rPr>
          <w:rFonts w:ascii="宋体" w:hAnsi="宋体"/>
          <w:color w:val="auto"/>
          <w:szCs w:val="21"/>
          <w:highlight w:val="none"/>
        </w:rPr>
        <w:t>项目</w:t>
      </w:r>
      <w:r>
        <w:rPr>
          <w:rFonts w:hint="eastAsia" w:ascii="宋体" w:hAnsi="宋体"/>
          <w:color w:val="auto"/>
          <w:szCs w:val="21"/>
          <w:highlight w:val="none"/>
        </w:rPr>
        <w:t>(项目名称)的招标活动中</w:t>
      </w:r>
      <w:r>
        <w:rPr>
          <w:rFonts w:ascii="宋体" w:hAnsi="宋体"/>
          <w:color w:val="auto"/>
          <w:szCs w:val="21"/>
          <w:highlight w:val="none"/>
        </w:rPr>
        <w:t>，本公司以</w:t>
      </w:r>
      <w:r>
        <w:rPr>
          <w:rFonts w:hint="eastAsia" w:ascii="宋体" w:hAnsi="宋体"/>
          <w:color w:val="auto"/>
          <w:szCs w:val="21"/>
          <w:highlight w:val="none"/>
          <w:u w:val="single"/>
        </w:rPr>
        <w:t xml:space="preserve">      </w:t>
      </w:r>
      <w:r>
        <w:rPr>
          <w:rFonts w:ascii="宋体" w:hAnsi="宋体"/>
          <w:color w:val="auto"/>
          <w:szCs w:val="21"/>
          <w:highlight w:val="none"/>
        </w:rPr>
        <w:t>（同城转帐、异地电汇）形式缴纳</w:t>
      </w:r>
      <w:r>
        <w:rPr>
          <w:rFonts w:hint="eastAsia" w:ascii="宋体" w:hAnsi="宋体"/>
          <w:color w:val="auto"/>
          <w:szCs w:val="21"/>
          <w:highlight w:val="none"/>
        </w:rPr>
        <w:t>投标</w:t>
      </w:r>
      <w:r>
        <w:rPr>
          <w:rFonts w:ascii="宋体" w:hAnsi="宋体"/>
          <w:color w:val="auto"/>
          <w:szCs w:val="21"/>
          <w:highlight w:val="none"/>
        </w:rPr>
        <w:t>保证金（¥      </w:t>
      </w:r>
      <w:r>
        <w:rPr>
          <w:rFonts w:hint="eastAsia" w:ascii="宋体" w:hAnsi="宋体"/>
          <w:color w:val="auto"/>
          <w:szCs w:val="21"/>
          <w:highlight w:val="none"/>
        </w:rPr>
        <w:t xml:space="preserve">   </w:t>
      </w:r>
      <w:r>
        <w:rPr>
          <w:rFonts w:ascii="宋体" w:hAnsi="宋体"/>
          <w:color w:val="auto"/>
          <w:szCs w:val="21"/>
          <w:highlight w:val="none"/>
        </w:rPr>
        <w:t>），</w:t>
      </w:r>
      <w:r>
        <w:rPr>
          <w:rFonts w:hint="eastAsia" w:ascii="宋体" w:hAnsi="宋体"/>
          <w:color w:val="auto"/>
          <w:szCs w:val="21"/>
          <w:highlight w:val="none"/>
        </w:rPr>
        <w:t>如中标，请贵公司待我司缴纳招标服务费并签订合同后给予办理退还；如未中标，则请将投标保证金直接退还到我公司帐户中:</w:t>
      </w:r>
    </w:p>
    <w:p>
      <w:pPr>
        <w:widowControl/>
        <w:spacing w:line="5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全称：</w:t>
      </w:r>
      <w:r>
        <w:rPr>
          <w:rFonts w:ascii="宋体" w:hAnsi="宋体"/>
          <w:color w:val="auto"/>
          <w:szCs w:val="21"/>
          <w:highlight w:val="none"/>
          <w:u w:val="single"/>
        </w:rPr>
        <w:t>                               </w:t>
      </w:r>
      <w:r>
        <w:rPr>
          <w:rFonts w:ascii="宋体" w:hAnsi="宋体"/>
          <w:color w:val="auto"/>
          <w:szCs w:val="21"/>
          <w:highlight w:val="none"/>
        </w:rPr>
        <w:t xml:space="preserve">  </w:t>
      </w:r>
    </w:p>
    <w:p>
      <w:pPr>
        <w:widowControl/>
        <w:spacing w:line="500" w:lineRule="exact"/>
        <w:ind w:firstLine="420" w:firstLineChars="200"/>
        <w:jc w:val="left"/>
        <w:rPr>
          <w:rFonts w:hint="eastAsia" w:ascii="宋体" w:hAnsi="宋体"/>
          <w:color w:val="auto"/>
          <w:szCs w:val="21"/>
          <w:highlight w:val="none"/>
        </w:rPr>
      </w:pPr>
      <w:r>
        <w:rPr>
          <w:rFonts w:ascii="宋体" w:hAnsi="宋体"/>
          <w:color w:val="auto"/>
          <w:szCs w:val="21"/>
          <w:highlight w:val="none"/>
        </w:rPr>
        <w:t>开户</w:t>
      </w:r>
      <w:r>
        <w:rPr>
          <w:rFonts w:hint="eastAsia" w:ascii="宋体" w:hAnsi="宋体"/>
          <w:color w:val="auto"/>
          <w:szCs w:val="21"/>
          <w:highlight w:val="none"/>
        </w:rPr>
        <w:t>银</w:t>
      </w:r>
      <w:r>
        <w:rPr>
          <w:rFonts w:ascii="宋体" w:hAnsi="宋体"/>
          <w:color w:val="auto"/>
          <w:szCs w:val="21"/>
          <w:highlight w:val="none"/>
        </w:rPr>
        <w:t>行：</w:t>
      </w:r>
      <w:r>
        <w:rPr>
          <w:rFonts w:ascii="宋体" w:hAnsi="宋体"/>
          <w:color w:val="auto"/>
          <w:szCs w:val="21"/>
          <w:highlight w:val="none"/>
          <w:u w:val="single"/>
        </w:rPr>
        <w:t>                              </w:t>
      </w:r>
      <w:r>
        <w:rPr>
          <w:rFonts w:ascii="宋体" w:hAnsi="宋体"/>
          <w:color w:val="auto"/>
          <w:szCs w:val="21"/>
          <w:highlight w:val="none"/>
        </w:rPr>
        <w:t> </w:t>
      </w:r>
    </w:p>
    <w:p>
      <w:pPr>
        <w:widowControl/>
        <w:spacing w:line="500" w:lineRule="exact"/>
        <w:ind w:firstLine="420" w:firstLineChars="200"/>
        <w:jc w:val="left"/>
        <w:rPr>
          <w:rFonts w:ascii="宋体" w:hAnsi="宋体"/>
          <w:color w:val="auto"/>
          <w:szCs w:val="21"/>
          <w:highlight w:val="none"/>
        </w:rPr>
      </w:pPr>
      <w:r>
        <w:rPr>
          <w:rFonts w:hint="eastAsia" w:ascii="宋体" w:hAnsi="宋体"/>
          <w:color w:val="auto"/>
          <w:szCs w:val="21"/>
          <w:highlight w:val="none"/>
        </w:rPr>
        <w:t>账</w:t>
      </w:r>
      <w:r>
        <w:rPr>
          <w:rFonts w:ascii="宋体" w:hAnsi="宋体"/>
          <w:color w:val="auto"/>
          <w:szCs w:val="21"/>
          <w:highlight w:val="none"/>
        </w:rPr>
        <w:t>    号：</w:t>
      </w:r>
      <w:r>
        <w:rPr>
          <w:rFonts w:ascii="宋体" w:hAnsi="宋体"/>
          <w:color w:val="auto"/>
          <w:szCs w:val="21"/>
          <w:highlight w:val="none"/>
          <w:u w:val="single"/>
        </w:rPr>
        <w:t>                               </w:t>
      </w:r>
      <w:r>
        <w:rPr>
          <w:rFonts w:ascii="宋体" w:hAnsi="宋体"/>
          <w:color w:val="auto"/>
          <w:szCs w:val="21"/>
          <w:highlight w:val="none"/>
        </w:rPr>
        <w:t xml:space="preserve">         </w:t>
      </w:r>
    </w:p>
    <w:p>
      <w:pPr>
        <w:widowControl/>
        <w:spacing w:line="500" w:lineRule="exact"/>
        <w:ind w:firstLine="420" w:firstLineChars="200"/>
        <w:jc w:val="left"/>
        <w:rPr>
          <w:rFonts w:ascii="宋体" w:hAnsi="宋体"/>
          <w:color w:val="auto"/>
          <w:szCs w:val="21"/>
          <w:highlight w:val="none"/>
        </w:rPr>
      </w:pPr>
      <w:r>
        <w:rPr>
          <w:rFonts w:ascii="宋体" w:hAnsi="宋体"/>
          <w:color w:val="auto"/>
          <w:szCs w:val="21"/>
          <w:highlight w:val="none"/>
        </w:rPr>
        <w:t>公司所属省份、市县：</w:t>
      </w:r>
      <w:r>
        <w:rPr>
          <w:rFonts w:ascii="宋体" w:hAnsi="宋体"/>
          <w:color w:val="auto"/>
          <w:szCs w:val="21"/>
          <w:highlight w:val="none"/>
          <w:u w:val="single"/>
        </w:rPr>
        <w:t>                               </w:t>
      </w:r>
      <w:r>
        <w:rPr>
          <w:rFonts w:ascii="宋体" w:hAnsi="宋体"/>
          <w:color w:val="auto"/>
          <w:szCs w:val="21"/>
          <w:highlight w:val="none"/>
        </w:rPr>
        <w:t xml:space="preserve">  </w:t>
      </w:r>
    </w:p>
    <w:p>
      <w:pPr>
        <w:widowControl/>
        <w:spacing w:line="500" w:lineRule="exact"/>
        <w:ind w:firstLine="420" w:firstLineChars="200"/>
        <w:jc w:val="left"/>
        <w:rPr>
          <w:rFonts w:hint="eastAsia" w:ascii="宋体" w:hAnsi="宋体"/>
          <w:color w:val="auto"/>
          <w:szCs w:val="21"/>
          <w:highlight w:val="none"/>
        </w:rPr>
      </w:pPr>
      <w:r>
        <w:rPr>
          <w:rFonts w:ascii="宋体" w:hAnsi="宋体"/>
          <w:color w:val="auto"/>
          <w:szCs w:val="21"/>
          <w:highlight w:val="none"/>
        </w:rPr>
        <w:t>（以上内容应详细填写，不可简化）</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1556"/>
        <w:gridCol w:w="6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7" w:type="pct"/>
            <w:noWrap w:val="0"/>
            <w:vAlign w:val="top"/>
          </w:tcPr>
          <w:p>
            <w:pPr>
              <w:widowControl/>
              <w:spacing w:line="500" w:lineRule="exact"/>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902" w:type="pct"/>
            <w:noWrap w:val="0"/>
            <w:vAlign w:val="top"/>
          </w:tcPr>
          <w:p>
            <w:pPr>
              <w:widowControl/>
              <w:spacing w:line="500" w:lineRule="exact"/>
              <w:jc w:val="center"/>
              <w:rPr>
                <w:rFonts w:hint="eastAsia" w:ascii="宋体" w:hAnsi="宋体"/>
                <w:b/>
                <w:color w:val="auto"/>
                <w:szCs w:val="21"/>
                <w:highlight w:val="none"/>
              </w:rPr>
            </w:pPr>
            <w:r>
              <w:rPr>
                <w:rFonts w:hint="eastAsia" w:ascii="宋体" w:hAnsi="宋体"/>
                <w:b/>
                <w:color w:val="auto"/>
                <w:szCs w:val="21"/>
                <w:highlight w:val="none"/>
              </w:rPr>
              <w:t>所投合同包</w:t>
            </w:r>
          </w:p>
        </w:tc>
        <w:tc>
          <w:tcPr>
            <w:tcW w:w="3629" w:type="pct"/>
            <w:noWrap w:val="0"/>
            <w:vAlign w:val="top"/>
          </w:tcPr>
          <w:p>
            <w:pPr>
              <w:widowControl/>
              <w:spacing w:line="500" w:lineRule="exact"/>
              <w:jc w:val="center"/>
              <w:rPr>
                <w:rFonts w:hint="eastAsia" w:ascii="宋体" w:hAnsi="宋体"/>
                <w:b/>
                <w:color w:val="auto"/>
                <w:szCs w:val="21"/>
                <w:highlight w:val="none"/>
              </w:rPr>
            </w:pPr>
            <w:r>
              <w:rPr>
                <w:rFonts w:hint="eastAsia" w:ascii="宋体" w:hAnsi="宋体"/>
                <w:b/>
                <w:color w:val="auto"/>
                <w:szCs w:val="21"/>
                <w:highlight w:val="none"/>
              </w:rPr>
              <w:t>提交投标保证金金额（元）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7" w:type="pct"/>
            <w:noWrap w:val="0"/>
            <w:vAlign w:val="top"/>
          </w:tcPr>
          <w:p>
            <w:pPr>
              <w:widowControl/>
              <w:spacing w:line="500" w:lineRule="exact"/>
              <w:jc w:val="left"/>
              <w:rPr>
                <w:rFonts w:hint="eastAsia" w:ascii="宋体" w:hAnsi="宋体"/>
                <w:color w:val="auto"/>
                <w:szCs w:val="21"/>
                <w:highlight w:val="none"/>
              </w:rPr>
            </w:pPr>
          </w:p>
        </w:tc>
        <w:tc>
          <w:tcPr>
            <w:tcW w:w="902" w:type="pct"/>
            <w:noWrap w:val="0"/>
            <w:vAlign w:val="top"/>
          </w:tcPr>
          <w:p>
            <w:pPr>
              <w:widowControl/>
              <w:spacing w:line="500" w:lineRule="exact"/>
              <w:jc w:val="left"/>
              <w:rPr>
                <w:rFonts w:hint="eastAsia" w:ascii="宋体" w:hAnsi="宋体"/>
                <w:color w:val="auto"/>
                <w:szCs w:val="21"/>
                <w:highlight w:val="none"/>
              </w:rPr>
            </w:pPr>
            <w:r>
              <w:rPr>
                <w:rFonts w:hint="eastAsia" w:ascii="宋体" w:hAnsi="宋体"/>
                <w:color w:val="auto"/>
                <w:szCs w:val="21"/>
                <w:highlight w:val="none"/>
              </w:rPr>
              <w:t xml:space="preserve">          </w:t>
            </w:r>
          </w:p>
        </w:tc>
        <w:tc>
          <w:tcPr>
            <w:tcW w:w="3629" w:type="pct"/>
            <w:noWrap w:val="0"/>
            <w:vAlign w:val="top"/>
          </w:tcPr>
          <w:p>
            <w:pPr>
              <w:widowControl/>
              <w:spacing w:line="500" w:lineRule="exact"/>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0" w:type="pct"/>
            <w:gridSpan w:val="2"/>
            <w:noWrap w:val="0"/>
            <w:vAlign w:val="top"/>
          </w:tcPr>
          <w:p>
            <w:pPr>
              <w:widowControl/>
              <w:spacing w:line="500" w:lineRule="exact"/>
              <w:jc w:val="left"/>
              <w:rPr>
                <w:rFonts w:hint="eastAsia" w:ascii="宋体" w:hAnsi="宋体"/>
                <w:color w:val="auto"/>
                <w:szCs w:val="21"/>
                <w:highlight w:val="none"/>
              </w:rPr>
            </w:pPr>
            <w:r>
              <w:rPr>
                <w:rFonts w:hint="eastAsia" w:ascii="宋体" w:hAnsi="宋体"/>
                <w:color w:val="auto"/>
                <w:szCs w:val="21"/>
                <w:highlight w:val="none"/>
              </w:rPr>
              <w:t>合计</w:t>
            </w:r>
          </w:p>
        </w:tc>
        <w:tc>
          <w:tcPr>
            <w:tcW w:w="3629" w:type="pct"/>
            <w:noWrap w:val="0"/>
            <w:vAlign w:val="top"/>
          </w:tcPr>
          <w:p>
            <w:pPr>
              <w:widowControl/>
              <w:spacing w:line="500" w:lineRule="exact"/>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78" w:hRule="atLeast"/>
        </w:trPr>
        <w:tc>
          <w:tcPr>
            <w:tcW w:w="5000" w:type="pct"/>
            <w:gridSpan w:val="3"/>
            <w:noWrap w:val="0"/>
            <w:vAlign w:val="center"/>
          </w:tcPr>
          <w:p>
            <w:pPr>
              <w:widowControl/>
              <w:spacing w:line="500" w:lineRule="exact"/>
              <w:jc w:val="center"/>
              <w:rPr>
                <w:rFonts w:hint="eastAsia" w:ascii="宋体" w:hAnsi="宋体"/>
                <w:color w:val="auto"/>
                <w:sz w:val="30"/>
                <w:szCs w:val="30"/>
                <w:highlight w:val="none"/>
              </w:rPr>
            </w:pPr>
            <w:r>
              <w:rPr>
                <w:rFonts w:hint="eastAsia" w:ascii="宋体" w:hAnsi="宋体"/>
                <w:color w:val="auto"/>
                <w:sz w:val="30"/>
                <w:szCs w:val="30"/>
                <w:highlight w:val="none"/>
              </w:rPr>
              <w:t>投标保证金凭证复印件粘贴处</w:t>
            </w:r>
          </w:p>
        </w:tc>
      </w:tr>
    </w:tbl>
    <w:p>
      <w:pPr>
        <w:spacing w:line="380" w:lineRule="exact"/>
        <w:rPr>
          <w:rFonts w:hint="eastAsia" w:ascii="宋体" w:hAnsi="宋体"/>
          <w:color w:val="auto"/>
          <w:szCs w:val="21"/>
          <w:highlight w:val="none"/>
        </w:rPr>
      </w:pPr>
    </w:p>
    <w:p>
      <w:pPr>
        <w:spacing w:line="380" w:lineRule="exact"/>
        <w:rPr>
          <w:rFonts w:hint="eastAsia" w:ascii="宋体" w:hAnsi="宋体"/>
          <w:color w:val="auto"/>
          <w:szCs w:val="21"/>
          <w:highlight w:val="none"/>
          <w:u w:val="single"/>
        </w:rPr>
      </w:pPr>
      <w:r>
        <w:rPr>
          <w:rFonts w:hint="eastAsia" w:ascii="宋体" w:hAnsi="宋体"/>
          <w:color w:val="auto"/>
          <w:szCs w:val="21"/>
          <w:highlight w:val="none"/>
        </w:rPr>
        <w:t xml:space="preserve">                            投标人（全称并加盖公章）： </w:t>
      </w:r>
      <w:r>
        <w:rPr>
          <w:rFonts w:hint="eastAsia" w:ascii="宋体" w:hAnsi="宋体"/>
          <w:color w:val="auto"/>
          <w:szCs w:val="21"/>
          <w:highlight w:val="none"/>
          <w:u w:val="single"/>
        </w:rPr>
        <w:t xml:space="preserve">                         </w:t>
      </w:r>
    </w:p>
    <w:p>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投标人代表签字：</w:t>
      </w:r>
      <w:r>
        <w:rPr>
          <w:rFonts w:hint="eastAsia" w:ascii="宋体" w:hAnsi="宋体"/>
          <w:color w:val="auto"/>
          <w:szCs w:val="21"/>
          <w:highlight w:val="none"/>
          <w:u w:val="single"/>
        </w:rPr>
        <w:t xml:space="preserve">                                  </w:t>
      </w:r>
    </w:p>
    <w:p>
      <w:pPr>
        <w:spacing w:line="340" w:lineRule="atLeast"/>
        <w:rPr>
          <w:rFonts w:hint="eastAsia" w:ascii="宋体" w:hAnsi="宋体"/>
          <w:color w:val="auto"/>
          <w:szCs w:val="21"/>
          <w:highlight w:val="none"/>
          <w:u w:val="single"/>
        </w:rPr>
      </w:pPr>
      <w:r>
        <w:rPr>
          <w:rFonts w:hint="eastAsia" w:ascii="宋体" w:hAnsi="宋体"/>
          <w:color w:val="auto"/>
          <w:szCs w:val="21"/>
          <w:highlight w:val="none"/>
        </w:rPr>
        <w:t xml:space="preserve">                            日          期：</w:t>
      </w:r>
      <w:r>
        <w:rPr>
          <w:rFonts w:hint="eastAsia" w:ascii="宋体" w:hAnsi="宋体"/>
          <w:color w:val="auto"/>
          <w:szCs w:val="21"/>
          <w:highlight w:val="none"/>
          <w:u w:val="single"/>
        </w:rPr>
        <w:t xml:space="preserve">                                  </w:t>
      </w:r>
    </w:p>
    <w:p>
      <w:pPr>
        <w:spacing w:line="340" w:lineRule="atLeast"/>
        <w:rPr>
          <w:rFonts w:hint="eastAsia" w:ascii="宋体" w:hAnsi="宋体"/>
          <w:color w:val="auto"/>
          <w:szCs w:val="21"/>
          <w:highlight w:val="none"/>
          <w:u w:val="single"/>
        </w:rPr>
      </w:pPr>
    </w:p>
    <w:p>
      <w:pPr>
        <w:spacing w:line="340" w:lineRule="atLeast"/>
        <w:ind w:firstLine="420" w:firstLineChars="200"/>
        <w:rPr>
          <w:rFonts w:hint="eastAsia" w:ascii="宋体" w:hAnsi="宋体"/>
          <w:color w:val="auto"/>
          <w:szCs w:val="21"/>
          <w:highlight w:val="none"/>
          <w:u w:val="single"/>
        </w:rPr>
      </w:pPr>
      <w:r>
        <w:rPr>
          <w:rFonts w:hint="eastAsia" w:ascii="宋体" w:hAnsi="宋体"/>
          <w:color w:val="auto"/>
          <w:szCs w:val="21"/>
          <w:highlight w:val="none"/>
        </w:rPr>
        <w:t>注：《</w:t>
      </w:r>
      <w:r>
        <w:rPr>
          <w:rFonts w:hint="eastAsia" w:ascii="宋体" w:hAnsi="宋体"/>
          <w:color w:val="auto"/>
          <w:szCs w:val="21"/>
          <w:highlight w:val="none"/>
          <w:lang w:eastAsia="zh-CN"/>
        </w:rPr>
        <w:t>退还</w:t>
      </w:r>
      <w:r>
        <w:rPr>
          <w:rFonts w:hint="eastAsia" w:ascii="宋体" w:hAnsi="宋体"/>
          <w:color w:val="auto"/>
          <w:szCs w:val="21"/>
          <w:highlight w:val="none"/>
        </w:rPr>
        <w:t>投标保证金说明函》（含清晰准确的投标保证金缴款凭证复印件）另做一份加盖公章后装在一单独的信封内密封并放置在投标文件报价部分正本密封袋中。</w:t>
      </w:r>
    </w:p>
    <w:p>
      <w:pPr>
        <w:pStyle w:val="19"/>
        <w:jc w:val="center"/>
        <w:outlineLvl w:val="2"/>
        <w:rPr>
          <w:b/>
          <w:color w:val="auto"/>
          <w:sz w:val="28"/>
          <w:highlight w:val="none"/>
        </w:rPr>
      </w:pPr>
    </w:p>
    <w:p>
      <w:pPr>
        <w:pStyle w:val="19"/>
        <w:jc w:val="center"/>
        <w:outlineLvl w:val="2"/>
        <w:rPr>
          <w:b/>
          <w:color w:val="auto"/>
          <w:sz w:val="28"/>
          <w:highlight w:val="none"/>
        </w:rPr>
      </w:pPr>
      <w:r>
        <w:rPr>
          <w:b/>
          <w:color w:val="auto"/>
          <w:sz w:val="28"/>
          <w:highlight w:val="none"/>
        </w:rPr>
        <w:t>封面格式(报价部分)</w:t>
      </w:r>
    </w:p>
    <w:p>
      <w:pPr>
        <w:pStyle w:val="19"/>
        <w:jc w:val="center"/>
        <w:outlineLvl w:val="2"/>
        <w:rPr>
          <w:b/>
          <w:color w:val="auto"/>
          <w:sz w:val="28"/>
          <w:highlight w:val="none"/>
        </w:rPr>
      </w:pPr>
    </w:p>
    <w:p>
      <w:pPr>
        <w:pStyle w:val="19"/>
        <w:jc w:val="center"/>
        <w:outlineLvl w:val="0"/>
        <w:rPr>
          <w:color w:val="auto"/>
          <w:sz w:val="72"/>
          <w:szCs w:val="72"/>
          <w:highlight w:val="none"/>
        </w:rPr>
      </w:pPr>
      <w:r>
        <w:rPr>
          <w:b/>
          <w:color w:val="auto"/>
          <w:sz w:val="72"/>
          <w:szCs w:val="72"/>
          <w:highlight w:val="none"/>
        </w:rPr>
        <w:t>福建省政府采购投标文件</w:t>
      </w:r>
    </w:p>
    <w:p>
      <w:pPr>
        <w:pStyle w:val="19"/>
        <w:jc w:val="center"/>
        <w:outlineLvl w:val="0"/>
        <w:rPr>
          <w:color w:val="auto"/>
          <w:highlight w:val="none"/>
        </w:rPr>
      </w:pPr>
      <w:r>
        <w:rPr>
          <w:b/>
          <w:color w:val="auto"/>
          <w:sz w:val="72"/>
          <w:szCs w:val="72"/>
          <w:highlight w:val="none"/>
        </w:rPr>
        <w:t>（报价部分）</w:t>
      </w:r>
      <w:r>
        <w:rPr>
          <w:color w:val="auto"/>
          <w:highlight w:val="none"/>
        </w:rPr>
        <w:br w:type="textWrapping"/>
      </w:r>
      <w:r>
        <w:rPr>
          <w:color w:val="auto"/>
          <w:highlight w:val="none"/>
        </w:rPr>
        <w:br w:type="textWrapping"/>
      </w:r>
      <w:r>
        <w:rPr>
          <w:color w:val="auto"/>
          <w:highlight w:val="none"/>
        </w:rPr>
        <w:br w:type="textWrapping"/>
      </w:r>
    </w:p>
    <w:p>
      <w:pPr>
        <w:pStyle w:val="19"/>
        <w:jc w:val="center"/>
        <w:outlineLvl w:val="1"/>
        <w:rPr>
          <w:color w:val="auto"/>
          <w:highlight w:val="none"/>
        </w:rPr>
      </w:pPr>
      <w:r>
        <w:rPr>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pPr>
        <w:pStyle w:val="19"/>
        <w:jc w:val="center"/>
        <w:outlineLvl w:val="2"/>
        <w:rPr>
          <w:color w:val="auto"/>
          <w:highlight w:val="none"/>
        </w:rPr>
      </w:pPr>
      <w:r>
        <w:rPr>
          <w:b/>
          <w:color w:val="auto"/>
          <w:sz w:val="28"/>
          <w:highlight w:val="none"/>
        </w:rPr>
        <w:t>（项目名称：（由投标人填写）</w:t>
      </w:r>
    </w:p>
    <w:p>
      <w:pPr>
        <w:pStyle w:val="19"/>
        <w:jc w:val="center"/>
        <w:outlineLvl w:val="2"/>
        <w:rPr>
          <w:color w:val="auto"/>
          <w:highlight w:val="none"/>
        </w:rPr>
      </w:pPr>
      <w:r>
        <w:rPr>
          <w:b/>
          <w:color w:val="auto"/>
          <w:sz w:val="28"/>
          <w:highlight w:val="none"/>
        </w:rPr>
        <w:t>（备案编号：（由投标人填写）</w:t>
      </w:r>
    </w:p>
    <w:p>
      <w:pPr>
        <w:pStyle w:val="19"/>
        <w:jc w:val="center"/>
        <w:outlineLvl w:val="2"/>
        <w:rPr>
          <w:color w:val="auto"/>
          <w:highlight w:val="none"/>
        </w:rPr>
      </w:pPr>
      <w:r>
        <w:rPr>
          <w:b/>
          <w:color w:val="auto"/>
          <w:sz w:val="28"/>
          <w:highlight w:val="none"/>
        </w:rPr>
        <w:t>（项目编号：（由投标人填写）</w:t>
      </w:r>
    </w:p>
    <w:p>
      <w:pPr>
        <w:pStyle w:val="19"/>
        <w:jc w:val="center"/>
        <w:outlineLvl w:val="2"/>
        <w:rPr>
          <w:color w:val="auto"/>
          <w:highlight w:val="none"/>
        </w:rPr>
      </w:pPr>
      <w:r>
        <w:rPr>
          <w:b/>
          <w:color w:val="auto"/>
          <w:sz w:val="28"/>
          <w:highlight w:val="none"/>
        </w:rPr>
        <w:t>（所投</w:t>
      </w:r>
      <w:r>
        <w:rPr>
          <w:rFonts w:hint="eastAsia"/>
          <w:b/>
          <w:color w:val="auto"/>
          <w:sz w:val="28"/>
          <w:highlight w:val="none"/>
          <w:lang w:eastAsia="zh-CN"/>
        </w:rPr>
        <w:t>合同包</w:t>
      </w:r>
      <w:r>
        <w:rPr>
          <w:b/>
          <w:color w:val="auto"/>
          <w:sz w:val="28"/>
          <w:highlight w:val="none"/>
        </w:rPr>
        <w:t>：（由投标人填写）</w:t>
      </w:r>
      <w:r>
        <w:rPr>
          <w:color w:val="auto"/>
          <w:highlight w:val="none"/>
        </w:rPr>
        <w:br w:type="textWrapping"/>
      </w:r>
      <w:r>
        <w:rPr>
          <w:color w:val="auto"/>
          <w:highlight w:val="none"/>
        </w:rPr>
        <w:br w:type="textWrapping"/>
      </w:r>
    </w:p>
    <w:p>
      <w:pPr>
        <w:pStyle w:val="19"/>
        <w:jc w:val="center"/>
        <w:outlineLvl w:val="2"/>
        <w:rPr>
          <w:color w:val="auto"/>
          <w:highlight w:val="none"/>
        </w:rPr>
      </w:pPr>
    </w:p>
    <w:p>
      <w:pPr>
        <w:pStyle w:val="19"/>
        <w:jc w:val="center"/>
        <w:outlineLvl w:val="2"/>
        <w:rPr>
          <w:color w:val="auto"/>
          <w:highlight w:val="none"/>
        </w:rPr>
      </w:pPr>
    </w:p>
    <w:p>
      <w:pPr>
        <w:pStyle w:val="19"/>
        <w:jc w:val="center"/>
        <w:outlineLvl w:val="2"/>
        <w:rPr>
          <w:color w:val="auto"/>
          <w:highlight w:val="none"/>
        </w:rPr>
      </w:pPr>
    </w:p>
    <w:p>
      <w:pPr>
        <w:pStyle w:val="19"/>
        <w:jc w:val="center"/>
        <w:outlineLvl w:val="2"/>
        <w:rPr>
          <w:color w:val="auto"/>
          <w:highlight w:val="none"/>
        </w:rPr>
      </w:pPr>
    </w:p>
    <w:p>
      <w:pPr>
        <w:pStyle w:val="19"/>
        <w:jc w:val="center"/>
        <w:outlineLvl w:val="2"/>
        <w:rPr>
          <w:color w:val="auto"/>
          <w:highlight w:val="none"/>
        </w:rPr>
      </w:pPr>
    </w:p>
    <w:p>
      <w:pPr>
        <w:pStyle w:val="19"/>
        <w:jc w:val="center"/>
        <w:outlineLvl w:val="2"/>
        <w:rPr>
          <w:color w:val="auto"/>
          <w:highlight w:val="none"/>
        </w:rPr>
      </w:pPr>
    </w:p>
    <w:p>
      <w:pPr>
        <w:pStyle w:val="19"/>
        <w:jc w:val="center"/>
        <w:outlineLvl w:val="2"/>
        <w:rPr>
          <w:color w:val="auto"/>
          <w:highlight w:val="none"/>
        </w:rPr>
      </w:pPr>
    </w:p>
    <w:p>
      <w:pPr>
        <w:pStyle w:val="19"/>
        <w:jc w:val="center"/>
        <w:outlineLvl w:val="2"/>
        <w:rPr>
          <w:color w:val="auto"/>
          <w:highlight w:val="none"/>
        </w:rPr>
      </w:pPr>
      <w:r>
        <w:rPr>
          <w:b/>
          <w:color w:val="auto"/>
          <w:sz w:val="28"/>
          <w:highlight w:val="none"/>
        </w:rPr>
        <w:t>投标人：（填写“全称”）</w:t>
      </w:r>
    </w:p>
    <w:p>
      <w:pPr>
        <w:pStyle w:val="19"/>
        <w:jc w:val="center"/>
        <w:outlineLvl w:val="2"/>
        <w:rPr>
          <w:color w:val="auto"/>
          <w:highlight w:val="none"/>
        </w:rPr>
      </w:pPr>
      <w:r>
        <w:rPr>
          <w:b/>
          <w:color w:val="auto"/>
          <w:sz w:val="28"/>
          <w:highlight w:val="none"/>
        </w:rPr>
        <w:t>（由投标人填写）年（由投标人填写）月</w:t>
      </w:r>
    </w:p>
    <w:p>
      <w:pPr>
        <w:pStyle w:val="19"/>
        <w:rPr>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19"/>
        <w:jc w:val="center"/>
        <w:rPr>
          <w:rFonts w:hint="eastAsia"/>
          <w:b/>
          <w:color w:val="auto"/>
          <w:sz w:val="28"/>
          <w:highlight w:val="none"/>
          <w:lang w:val="en-US" w:eastAsia="zh-CN"/>
        </w:rPr>
      </w:pPr>
      <w:r>
        <w:rPr>
          <w:rFonts w:hint="eastAsia"/>
          <w:b/>
          <w:color w:val="auto"/>
          <w:sz w:val="28"/>
          <w:highlight w:val="none"/>
          <w:lang w:val="en-US" w:eastAsia="zh-CN"/>
        </w:rPr>
        <w:t>目录</w:t>
      </w:r>
    </w:p>
    <w:p>
      <w:pPr>
        <w:spacing w:line="600" w:lineRule="exact"/>
        <w:ind w:left="525" w:leftChars="250"/>
        <w:outlineLvl w:val="1"/>
        <w:rPr>
          <w:rFonts w:hint="eastAsia" w:ascii="宋体" w:hAnsi="宋体"/>
          <w:color w:val="auto"/>
          <w:szCs w:val="21"/>
          <w:highlight w:val="none"/>
        </w:rPr>
      </w:pPr>
      <w:bookmarkStart w:id="39" w:name="_Toc6967"/>
      <w:bookmarkStart w:id="40" w:name="_Toc17921"/>
      <w:r>
        <w:rPr>
          <w:rFonts w:hint="eastAsia" w:ascii="宋体" w:hAnsi="宋体"/>
          <w:b/>
          <w:color w:val="auto"/>
          <w:szCs w:val="21"/>
          <w:highlight w:val="none"/>
        </w:rPr>
        <w:t>1．开标一览表(附件12)</w:t>
      </w:r>
      <w:r>
        <w:rPr>
          <w:rFonts w:hint="eastAsia" w:ascii="宋体" w:hAnsi="宋体"/>
          <w:color w:val="auto"/>
          <w:szCs w:val="21"/>
          <w:highlight w:val="none"/>
        </w:rPr>
        <w:t xml:space="preserve"> ………………………………………………………………页码</w:t>
      </w:r>
      <w:bookmarkEnd w:id="39"/>
      <w:bookmarkEnd w:id="40"/>
      <w:r>
        <w:rPr>
          <w:rFonts w:hint="eastAsia" w:ascii="宋体" w:hAnsi="宋体"/>
          <w:color w:val="auto"/>
          <w:szCs w:val="21"/>
          <w:highlight w:val="none"/>
        </w:rPr>
        <w:t xml:space="preserve"> </w:t>
      </w:r>
    </w:p>
    <w:p>
      <w:pPr>
        <w:spacing w:line="600" w:lineRule="exact"/>
        <w:ind w:left="525" w:leftChars="250"/>
        <w:outlineLvl w:val="1"/>
        <w:rPr>
          <w:rFonts w:hint="eastAsia" w:ascii="宋体" w:hAnsi="宋体"/>
          <w:color w:val="auto"/>
          <w:szCs w:val="21"/>
          <w:highlight w:val="none"/>
        </w:rPr>
      </w:pPr>
      <w:bookmarkStart w:id="41" w:name="_Toc12451"/>
      <w:bookmarkStart w:id="42" w:name="_Toc17955"/>
      <w:r>
        <w:rPr>
          <w:rFonts w:hint="eastAsia" w:ascii="宋体" w:hAnsi="宋体"/>
          <w:b/>
          <w:color w:val="auto"/>
          <w:szCs w:val="21"/>
          <w:highlight w:val="none"/>
        </w:rPr>
        <w:t xml:space="preserve">2. 投标分项报价表(附件13) </w:t>
      </w:r>
      <w:r>
        <w:rPr>
          <w:rFonts w:hint="eastAsia" w:ascii="宋体" w:hAnsi="宋体"/>
          <w:color w:val="auto"/>
          <w:szCs w:val="21"/>
          <w:highlight w:val="none"/>
        </w:rPr>
        <w:t>…………………………………………………………页码</w:t>
      </w:r>
      <w:bookmarkEnd w:id="41"/>
      <w:bookmarkEnd w:id="42"/>
    </w:p>
    <w:p>
      <w:pPr>
        <w:spacing w:line="600" w:lineRule="exact"/>
        <w:ind w:left="525" w:leftChars="250" w:firstLine="308" w:firstLineChars="147"/>
        <w:rPr>
          <w:rFonts w:hint="eastAsia" w:ascii="宋体" w:hAnsi="宋体"/>
          <w:color w:val="auto"/>
          <w:szCs w:val="21"/>
          <w:highlight w:val="none"/>
        </w:rPr>
      </w:pPr>
      <w:r>
        <w:rPr>
          <w:rFonts w:hint="eastAsia" w:ascii="宋体" w:hAnsi="宋体"/>
          <w:color w:val="auto"/>
          <w:szCs w:val="21"/>
          <w:highlight w:val="none"/>
        </w:rPr>
        <w:t xml:space="preserve">投标货物分项报价表(表13-1) </w:t>
      </w:r>
      <w:r>
        <w:rPr>
          <w:rFonts w:hint="eastAsia" w:ascii="宋体" w:hAnsi="宋体"/>
          <w:color w:val="auto"/>
          <w:szCs w:val="21"/>
          <w:highlight w:val="none"/>
        </w:rPr>
        <w:t>…</w:t>
      </w:r>
      <w:r>
        <w:rPr>
          <w:rFonts w:hint="eastAsia" w:ascii="宋体" w:hAnsi="宋体"/>
          <w:color w:val="auto"/>
          <w:szCs w:val="21"/>
          <w:highlight w:val="none"/>
        </w:rPr>
        <w:t>…………………………………………………页码</w:t>
      </w:r>
    </w:p>
    <w:p>
      <w:pPr>
        <w:spacing w:line="600" w:lineRule="exact"/>
        <w:ind w:left="525" w:leftChars="250" w:firstLine="315" w:firstLineChars="150"/>
        <w:rPr>
          <w:rFonts w:hint="eastAsia" w:ascii="宋体" w:hAnsi="宋体"/>
          <w:color w:val="auto"/>
          <w:szCs w:val="21"/>
          <w:highlight w:val="none"/>
        </w:rPr>
      </w:pPr>
      <w:r>
        <w:rPr>
          <w:rFonts w:hint="eastAsia" w:ascii="宋体" w:hAnsi="宋体"/>
          <w:color w:val="auto"/>
          <w:szCs w:val="21"/>
          <w:highlight w:val="none"/>
        </w:rPr>
        <w:t>组成货物主要件和关键件清单（含价格）（表13-2）……………………………页码</w:t>
      </w:r>
    </w:p>
    <w:p>
      <w:pPr>
        <w:spacing w:line="600" w:lineRule="exact"/>
        <w:ind w:left="525" w:leftChars="250" w:firstLine="309" w:firstLineChars="147"/>
        <w:rPr>
          <w:rFonts w:hint="eastAsia" w:ascii="宋体" w:hAnsi="宋体"/>
          <w:b/>
          <w:color w:val="auto"/>
          <w:szCs w:val="21"/>
          <w:highlight w:val="none"/>
        </w:rPr>
      </w:pPr>
      <w:r>
        <w:rPr>
          <w:rFonts w:hint="eastAsia" w:ascii="宋体" w:hAnsi="宋体"/>
          <w:b/>
          <w:color w:val="auto"/>
          <w:szCs w:val="21"/>
          <w:highlight w:val="none"/>
        </w:rPr>
        <w:t xml:space="preserve">节能、环境标志产品相关材料（如有） (附件13-3) </w:t>
      </w:r>
    </w:p>
    <w:p>
      <w:pPr>
        <w:spacing w:line="600" w:lineRule="exact"/>
        <w:ind w:left="525" w:leftChars="250" w:firstLine="315" w:firstLineChars="150"/>
        <w:rPr>
          <w:rFonts w:hint="eastAsia" w:ascii="宋体" w:hAnsi="宋体"/>
          <w:color w:val="auto"/>
          <w:szCs w:val="21"/>
          <w:highlight w:val="none"/>
        </w:rPr>
      </w:pPr>
      <w:r>
        <w:rPr>
          <w:rFonts w:hint="eastAsia" w:ascii="宋体" w:hAnsi="宋体"/>
          <w:color w:val="auto"/>
          <w:szCs w:val="21"/>
          <w:highlight w:val="none"/>
        </w:rPr>
        <w:t>节能(非强制类)、环境标志产品明细表 (表13-3-1)……………………页码</w:t>
      </w:r>
    </w:p>
    <w:p>
      <w:pPr>
        <w:spacing w:line="600" w:lineRule="exact"/>
        <w:ind w:left="525" w:leftChars="250" w:firstLine="315" w:firstLineChars="150"/>
        <w:rPr>
          <w:rFonts w:hint="eastAsia" w:ascii="宋体" w:hAnsi="宋体"/>
          <w:color w:val="auto"/>
          <w:szCs w:val="21"/>
          <w:highlight w:val="none"/>
        </w:rPr>
      </w:pPr>
      <w:r>
        <w:rPr>
          <w:rFonts w:hint="eastAsia" w:ascii="宋体" w:hAnsi="宋体"/>
          <w:color w:val="auto"/>
          <w:szCs w:val="21"/>
          <w:highlight w:val="none"/>
        </w:rPr>
        <w:t>节能、环境标志产品证明文件  (表13-3-2) ……………………………页码</w:t>
      </w:r>
    </w:p>
    <w:p>
      <w:pPr>
        <w:spacing w:line="600" w:lineRule="exact"/>
        <w:ind w:left="525" w:leftChars="250" w:firstLine="309" w:firstLineChars="147"/>
        <w:rPr>
          <w:rFonts w:hint="eastAsia" w:ascii="宋体" w:hAnsi="宋体"/>
          <w:b/>
          <w:color w:val="auto"/>
          <w:szCs w:val="21"/>
          <w:highlight w:val="none"/>
        </w:rPr>
      </w:pPr>
      <w:r>
        <w:rPr>
          <w:rFonts w:hint="eastAsia" w:ascii="宋体" w:hAnsi="宋体"/>
          <w:b/>
          <w:color w:val="auto"/>
          <w:szCs w:val="21"/>
          <w:highlight w:val="none"/>
        </w:rPr>
        <w:t>中小企业相关材料（如有）(附件13-4)</w:t>
      </w:r>
    </w:p>
    <w:p>
      <w:pPr>
        <w:tabs>
          <w:tab w:val="left" w:pos="900"/>
        </w:tabs>
        <w:spacing w:line="620" w:lineRule="exact"/>
        <w:ind w:firstLine="840" w:firstLineChars="400"/>
        <w:rPr>
          <w:rFonts w:hint="eastAsia" w:ascii="宋体" w:hAnsi="宋体"/>
          <w:color w:val="auto"/>
          <w:szCs w:val="21"/>
          <w:highlight w:val="none"/>
        </w:rPr>
      </w:pPr>
      <w:r>
        <w:rPr>
          <w:rFonts w:hint="eastAsia" w:ascii="宋体" w:hAnsi="宋体"/>
          <w:color w:val="auto"/>
          <w:szCs w:val="21"/>
          <w:highlight w:val="none"/>
        </w:rPr>
        <w:t>中小企业声明函(表13-4-1) ………………………………………………………页码</w:t>
      </w:r>
    </w:p>
    <w:p>
      <w:pPr>
        <w:spacing w:line="600" w:lineRule="exact"/>
        <w:ind w:left="525" w:leftChars="250" w:firstLine="315" w:firstLineChars="150"/>
        <w:rPr>
          <w:rFonts w:hint="eastAsia" w:ascii="宋体" w:hAnsi="宋体"/>
          <w:color w:val="auto"/>
          <w:szCs w:val="21"/>
          <w:highlight w:val="none"/>
        </w:rPr>
      </w:pPr>
      <w:r>
        <w:rPr>
          <w:rFonts w:hint="eastAsia" w:ascii="宋体" w:hAnsi="宋体"/>
          <w:color w:val="auto"/>
          <w:szCs w:val="21"/>
          <w:highlight w:val="none"/>
        </w:rPr>
        <w:t>小、微企业产品明细表  (表13-4-2) ……………………………………………页码</w:t>
      </w:r>
    </w:p>
    <w:p>
      <w:pPr>
        <w:pStyle w:val="22"/>
        <w:outlineLvl w:val="9"/>
        <w:rPr>
          <w:rFonts w:hAnsi="宋体"/>
          <w:b/>
          <w:color w:val="auto"/>
          <w:sz w:val="36"/>
          <w:highlight w:val="none"/>
        </w:rPr>
      </w:pPr>
    </w:p>
    <w:p>
      <w:pPr>
        <w:pStyle w:val="22"/>
        <w:outlineLvl w:val="9"/>
        <w:rPr>
          <w:rFonts w:hAnsi="宋体"/>
          <w:b/>
          <w:color w:val="auto"/>
          <w:sz w:val="36"/>
          <w:highlight w:val="none"/>
        </w:rPr>
      </w:pPr>
    </w:p>
    <w:p>
      <w:pPr>
        <w:pStyle w:val="22"/>
        <w:outlineLvl w:val="9"/>
        <w:rPr>
          <w:rFonts w:hAnsi="宋体"/>
          <w:b/>
          <w:color w:val="auto"/>
          <w:sz w:val="36"/>
          <w:highlight w:val="none"/>
        </w:rPr>
      </w:pPr>
    </w:p>
    <w:p>
      <w:pPr>
        <w:pStyle w:val="22"/>
        <w:outlineLvl w:val="9"/>
        <w:rPr>
          <w:rFonts w:hAnsi="宋体"/>
          <w:b/>
          <w:color w:val="auto"/>
          <w:sz w:val="36"/>
          <w:highlight w:val="none"/>
        </w:rPr>
      </w:pPr>
    </w:p>
    <w:p>
      <w:pPr>
        <w:pStyle w:val="22"/>
        <w:outlineLvl w:val="9"/>
        <w:rPr>
          <w:rFonts w:hAnsi="宋体"/>
          <w:b/>
          <w:color w:val="auto"/>
          <w:sz w:val="36"/>
          <w:highlight w:val="none"/>
        </w:rPr>
      </w:pPr>
    </w:p>
    <w:p>
      <w:pPr>
        <w:pStyle w:val="22"/>
        <w:ind w:firstLine="618" w:firstLineChars="294"/>
        <w:rPr>
          <w:rFonts w:hAnsi="宋体"/>
          <w:b/>
          <w:color w:val="auto"/>
          <w:sz w:val="21"/>
          <w:szCs w:val="21"/>
          <w:highlight w:val="none"/>
        </w:rPr>
      </w:pPr>
      <w:r>
        <w:rPr>
          <w:rFonts w:hAnsi="宋体"/>
          <w:b/>
          <w:color w:val="auto"/>
          <w:sz w:val="21"/>
          <w:szCs w:val="21"/>
          <w:highlight w:val="none"/>
        </w:rPr>
        <w:t xml:space="preserve"> </w:t>
      </w:r>
      <w:bookmarkStart w:id="43" w:name="_Toc2793"/>
      <w:bookmarkStart w:id="44" w:name="_Toc26107"/>
      <w:bookmarkStart w:id="45" w:name="_Toc6774"/>
      <w:r>
        <w:rPr>
          <w:rFonts w:hAnsi="宋体"/>
          <w:b/>
          <w:color w:val="auto"/>
          <w:sz w:val="21"/>
          <w:szCs w:val="21"/>
          <w:highlight w:val="none"/>
        </w:rPr>
        <w:t>注:目录应标注页码</w:t>
      </w:r>
      <w:bookmarkEnd w:id="43"/>
      <w:bookmarkEnd w:id="44"/>
      <w:bookmarkEnd w:id="45"/>
    </w:p>
    <w:p>
      <w:pPr>
        <w:pStyle w:val="22"/>
        <w:jc w:val="left"/>
        <w:outlineLvl w:val="9"/>
        <w:rPr>
          <w:rFonts w:hAnsi="宋体"/>
          <w:b/>
          <w:color w:val="auto"/>
          <w:sz w:val="36"/>
          <w:highlight w:val="none"/>
        </w:rPr>
        <w:sectPr>
          <w:pgSz w:w="11907" w:h="16840"/>
          <w:pgMar w:top="1440" w:right="1752" w:bottom="1440" w:left="1752" w:header="851" w:footer="992" w:gutter="0"/>
          <w:pgNumType w:fmt="decimal"/>
          <w:cols w:space="720" w:num="1"/>
          <w:titlePg/>
          <w:docGrid w:linePitch="323" w:charSpace="-2"/>
        </w:sectPr>
      </w:pPr>
    </w:p>
    <w:p>
      <w:pPr>
        <w:pStyle w:val="22"/>
        <w:jc w:val="left"/>
        <w:rPr>
          <w:rFonts w:hAnsi="宋体"/>
          <w:color w:val="auto"/>
          <w:sz w:val="21"/>
          <w:szCs w:val="21"/>
          <w:highlight w:val="none"/>
        </w:rPr>
      </w:pPr>
      <w:bookmarkStart w:id="46" w:name="_Toc29608"/>
      <w:bookmarkStart w:id="47" w:name="_Toc12859"/>
      <w:bookmarkStart w:id="48" w:name="_Toc3373"/>
      <w:r>
        <w:rPr>
          <w:rFonts w:hAnsi="宋体"/>
          <w:color w:val="auto"/>
          <w:sz w:val="21"/>
          <w:szCs w:val="21"/>
          <w:highlight w:val="none"/>
        </w:rPr>
        <w:t>附件12、</w:t>
      </w:r>
      <w:bookmarkEnd w:id="46"/>
      <w:bookmarkEnd w:id="47"/>
      <w:bookmarkEnd w:id="48"/>
    </w:p>
    <w:p>
      <w:pPr>
        <w:pStyle w:val="22"/>
        <w:jc w:val="center"/>
        <w:rPr>
          <w:rFonts w:hAnsi="宋体"/>
          <w:b/>
          <w:color w:val="auto"/>
          <w:sz w:val="21"/>
          <w:szCs w:val="21"/>
          <w:highlight w:val="none"/>
        </w:rPr>
      </w:pPr>
      <w:bookmarkStart w:id="49" w:name="_Toc3354"/>
      <w:bookmarkStart w:id="50" w:name="_Toc9534"/>
      <w:bookmarkStart w:id="51" w:name="_Toc25702"/>
      <w:r>
        <w:rPr>
          <w:rFonts w:hAnsi="宋体"/>
          <w:b/>
          <w:color w:val="auto"/>
          <w:sz w:val="32"/>
          <w:szCs w:val="32"/>
          <w:highlight w:val="none"/>
        </w:rPr>
        <w:t>开标一览表</w:t>
      </w:r>
      <w:bookmarkEnd w:id="49"/>
      <w:bookmarkEnd w:id="50"/>
      <w:bookmarkEnd w:id="51"/>
    </w:p>
    <w:p>
      <w:pPr>
        <w:pStyle w:val="22"/>
        <w:jc w:val="center"/>
        <w:rPr>
          <w:rFonts w:hAnsi="宋体"/>
          <w:color w:val="auto"/>
          <w:sz w:val="21"/>
          <w:szCs w:val="21"/>
          <w:highlight w:val="none"/>
        </w:rPr>
      </w:pPr>
      <w:bookmarkStart w:id="52" w:name="_Toc11244"/>
      <w:bookmarkStart w:id="53" w:name="_Toc2868"/>
      <w:bookmarkStart w:id="54" w:name="_Toc23019"/>
      <w:r>
        <w:rPr>
          <w:rFonts w:hAnsi="宋体"/>
          <w:color w:val="auto"/>
          <w:sz w:val="21"/>
          <w:szCs w:val="21"/>
          <w:highlight w:val="none"/>
        </w:rPr>
        <w:t>（合同包号_____）</w:t>
      </w:r>
      <w:bookmarkEnd w:id="52"/>
      <w:bookmarkEnd w:id="53"/>
      <w:bookmarkEnd w:id="54"/>
    </w:p>
    <w:p>
      <w:pPr>
        <w:pStyle w:val="22"/>
        <w:jc w:val="center"/>
        <w:outlineLvl w:val="9"/>
        <w:rPr>
          <w:rFonts w:hAnsi="宋体"/>
          <w:color w:val="auto"/>
          <w:sz w:val="21"/>
          <w:szCs w:val="21"/>
          <w:highlight w:val="none"/>
        </w:rPr>
      </w:pPr>
    </w:p>
    <w:p>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投标人（全称并加盖公章）：                                                    项目编号∶                          货币单位： </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365"/>
        <w:gridCol w:w="1470"/>
        <w:gridCol w:w="1155"/>
        <w:gridCol w:w="1260"/>
        <w:gridCol w:w="1365"/>
        <w:gridCol w:w="1260"/>
        <w:gridCol w:w="840"/>
        <w:gridCol w:w="1050"/>
        <w:gridCol w:w="1155"/>
        <w:gridCol w:w="157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32" w:hRule="atLeast"/>
        </w:trPr>
        <w:tc>
          <w:tcPr>
            <w:tcW w:w="1050" w:type="dxa"/>
            <w:noWrap w:val="0"/>
            <w:vAlign w:val="center"/>
          </w:tcPr>
          <w:p>
            <w:pPr>
              <w:spacing w:line="380" w:lineRule="exact"/>
              <w:jc w:val="center"/>
              <w:rPr>
                <w:rFonts w:hint="eastAsia" w:ascii="宋体" w:hAnsi="宋体"/>
                <w:color w:val="auto"/>
                <w:szCs w:val="21"/>
                <w:highlight w:val="none"/>
              </w:rPr>
            </w:pPr>
            <w:r>
              <w:rPr>
                <w:rFonts w:hint="eastAsia" w:ascii="宋体" w:hAnsi="宋体"/>
                <w:color w:val="auto"/>
                <w:szCs w:val="21"/>
                <w:highlight w:val="none"/>
              </w:rPr>
              <w:t>合同包</w:t>
            </w:r>
          </w:p>
        </w:tc>
        <w:tc>
          <w:tcPr>
            <w:tcW w:w="1365" w:type="dxa"/>
            <w:noWrap w:val="0"/>
            <w:vAlign w:val="center"/>
          </w:tcPr>
          <w:p>
            <w:pPr>
              <w:spacing w:line="380" w:lineRule="exact"/>
              <w:jc w:val="center"/>
              <w:rPr>
                <w:rFonts w:hint="eastAsia" w:ascii="宋体" w:hAnsi="宋体"/>
                <w:color w:val="auto"/>
                <w:szCs w:val="21"/>
                <w:highlight w:val="none"/>
              </w:rPr>
            </w:pPr>
            <w:r>
              <w:rPr>
                <w:rFonts w:hint="eastAsia" w:ascii="宋体" w:hAnsi="宋体"/>
                <w:color w:val="auto"/>
                <w:szCs w:val="21"/>
                <w:highlight w:val="none"/>
              </w:rPr>
              <w:t>货物名称</w:t>
            </w:r>
          </w:p>
        </w:tc>
        <w:tc>
          <w:tcPr>
            <w:tcW w:w="1470" w:type="dxa"/>
            <w:noWrap w:val="0"/>
            <w:vAlign w:val="center"/>
          </w:tcPr>
          <w:p>
            <w:pPr>
              <w:spacing w:line="380" w:lineRule="exact"/>
              <w:jc w:val="center"/>
              <w:rPr>
                <w:rFonts w:hint="eastAsia" w:ascii="宋体" w:hAnsi="宋体"/>
                <w:color w:val="auto"/>
                <w:szCs w:val="21"/>
                <w:highlight w:val="none"/>
              </w:rPr>
            </w:pPr>
            <w:r>
              <w:rPr>
                <w:rFonts w:hint="eastAsia" w:ascii="宋体" w:hAnsi="宋体"/>
                <w:color w:val="auto"/>
                <w:szCs w:val="21"/>
                <w:highlight w:val="none"/>
              </w:rPr>
              <w:t>品牌、规格、型号</w:t>
            </w:r>
          </w:p>
        </w:tc>
        <w:tc>
          <w:tcPr>
            <w:tcW w:w="1155" w:type="dxa"/>
            <w:noWrap w:val="0"/>
            <w:vAlign w:val="center"/>
          </w:tcPr>
          <w:p>
            <w:pPr>
              <w:spacing w:line="380" w:lineRule="exact"/>
              <w:jc w:val="center"/>
              <w:rPr>
                <w:rFonts w:hint="eastAsia" w:ascii="宋体" w:hAnsi="宋体"/>
                <w:color w:val="auto"/>
                <w:szCs w:val="21"/>
                <w:highlight w:val="none"/>
              </w:rPr>
            </w:pPr>
            <w:r>
              <w:rPr>
                <w:rFonts w:hint="eastAsia" w:ascii="宋体" w:hAnsi="宋体"/>
                <w:color w:val="auto"/>
                <w:szCs w:val="21"/>
                <w:highlight w:val="none"/>
              </w:rPr>
              <w:t>制造商/国籍</w:t>
            </w:r>
          </w:p>
        </w:tc>
        <w:tc>
          <w:tcPr>
            <w:tcW w:w="1260" w:type="dxa"/>
            <w:noWrap w:val="0"/>
            <w:vAlign w:val="center"/>
          </w:tcPr>
          <w:p>
            <w:pPr>
              <w:spacing w:line="380" w:lineRule="exact"/>
              <w:jc w:val="center"/>
              <w:rPr>
                <w:rFonts w:hint="eastAsia" w:ascii="宋体" w:hAnsi="宋体"/>
                <w:color w:val="auto"/>
                <w:szCs w:val="21"/>
                <w:highlight w:val="none"/>
              </w:rPr>
            </w:pPr>
            <w:r>
              <w:rPr>
                <w:rFonts w:hint="eastAsia" w:ascii="宋体" w:hAnsi="宋体"/>
                <w:color w:val="auto"/>
                <w:szCs w:val="21"/>
                <w:highlight w:val="none"/>
              </w:rPr>
              <w:t>交货期</w:t>
            </w:r>
          </w:p>
        </w:tc>
        <w:tc>
          <w:tcPr>
            <w:tcW w:w="1365" w:type="dxa"/>
            <w:noWrap w:val="0"/>
            <w:vAlign w:val="center"/>
          </w:tcPr>
          <w:p>
            <w:pPr>
              <w:spacing w:line="380" w:lineRule="exact"/>
              <w:jc w:val="center"/>
              <w:rPr>
                <w:rFonts w:hint="eastAsia" w:ascii="宋体" w:hAnsi="宋体"/>
                <w:color w:val="auto"/>
                <w:szCs w:val="21"/>
                <w:highlight w:val="none"/>
              </w:rPr>
            </w:pPr>
            <w:r>
              <w:rPr>
                <w:rFonts w:hint="eastAsia" w:ascii="宋体" w:hAnsi="宋体"/>
                <w:color w:val="auto"/>
                <w:szCs w:val="21"/>
                <w:highlight w:val="none"/>
              </w:rPr>
              <w:t>质保期</w:t>
            </w:r>
          </w:p>
        </w:tc>
        <w:tc>
          <w:tcPr>
            <w:tcW w:w="1260" w:type="dxa"/>
            <w:noWrap w:val="0"/>
            <w:vAlign w:val="center"/>
          </w:tcPr>
          <w:p>
            <w:pPr>
              <w:spacing w:line="380" w:lineRule="exact"/>
              <w:jc w:val="center"/>
              <w:rPr>
                <w:rFonts w:hint="eastAsia" w:ascii="宋体" w:hAnsi="宋体"/>
                <w:color w:val="auto"/>
                <w:szCs w:val="21"/>
                <w:highlight w:val="none"/>
              </w:rPr>
            </w:pPr>
            <w:r>
              <w:rPr>
                <w:rFonts w:hint="eastAsia" w:ascii="宋体" w:hAnsi="宋体"/>
                <w:color w:val="auto"/>
                <w:szCs w:val="21"/>
                <w:highlight w:val="none"/>
              </w:rPr>
              <w:t>交货地点</w:t>
            </w:r>
          </w:p>
        </w:tc>
        <w:tc>
          <w:tcPr>
            <w:tcW w:w="840" w:type="dxa"/>
            <w:noWrap w:val="0"/>
            <w:vAlign w:val="center"/>
          </w:tcPr>
          <w:p>
            <w:pPr>
              <w:spacing w:line="380" w:lineRule="exact"/>
              <w:jc w:val="center"/>
              <w:rPr>
                <w:rFonts w:hint="eastAsia" w:ascii="宋体" w:hAnsi="宋体"/>
                <w:color w:val="auto"/>
                <w:szCs w:val="21"/>
                <w:highlight w:val="none"/>
              </w:rPr>
            </w:pPr>
            <w:r>
              <w:rPr>
                <w:rFonts w:hint="eastAsia" w:ascii="宋体" w:hAnsi="宋体"/>
                <w:color w:val="auto"/>
                <w:szCs w:val="21"/>
                <w:highlight w:val="none"/>
              </w:rPr>
              <w:t>数量</w:t>
            </w:r>
          </w:p>
        </w:tc>
        <w:tc>
          <w:tcPr>
            <w:tcW w:w="1050" w:type="dxa"/>
            <w:noWrap w:val="0"/>
            <w:vAlign w:val="center"/>
          </w:tcPr>
          <w:p>
            <w:pPr>
              <w:spacing w:line="380" w:lineRule="exact"/>
              <w:jc w:val="center"/>
              <w:rPr>
                <w:rFonts w:hint="eastAsia" w:ascii="宋体" w:hAnsi="宋体"/>
                <w:color w:val="auto"/>
                <w:szCs w:val="21"/>
                <w:highlight w:val="none"/>
              </w:rPr>
            </w:pPr>
            <w:r>
              <w:rPr>
                <w:rFonts w:hint="eastAsia" w:ascii="宋体" w:hAnsi="宋体"/>
                <w:color w:val="auto"/>
                <w:szCs w:val="21"/>
                <w:highlight w:val="none"/>
              </w:rPr>
              <w:t>单价</w:t>
            </w:r>
          </w:p>
        </w:tc>
        <w:tc>
          <w:tcPr>
            <w:tcW w:w="1155" w:type="dxa"/>
            <w:noWrap w:val="0"/>
            <w:vAlign w:val="center"/>
          </w:tcPr>
          <w:p>
            <w:pPr>
              <w:spacing w:line="380" w:lineRule="exact"/>
              <w:jc w:val="center"/>
              <w:rPr>
                <w:rFonts w:hint="eastAsia" w:ascii="宋体" w:hAnsi="宋体"/>
                <w:color w:val="auto"/>
                <w:szCs w:val="21"/>
                <w:highlight w:val="none"/>
              </w:rPr>
            </w:pPr>
            <w:r>
              <w:rPr>
                <w:rFonts w:hint="eastAsia" w:ascii="宋体" w:hAnsi="宋体"/>
                <w:color w:val="auto"/>
                <w:szCs w:val="21"/>
                <w:highlight w:val="none"/>
              </w:rPr>
              <w:t>小计</w:t>
            </w:r>
          </w:p>
        </w:tc>
        <w:tc>
          <w:tcPr>
            <w:tcW w:w="1575" w:type="dxa"/>
            <w:noWrap w:val="0"/>
            <w:vAlign w:val="center"/>
          </w:tcPr>
          <w:p>
            <w:pPr>
              <w:spacing w:line="380" w:lineRule="exact"/>
              <w:jc w:val="center"/>
              <w:rPr>
                <w:rFonts w:hint="eastAsia" w:ascii="宋体" w:hAnsi="宋体"/>
                <w:color w:val="auto"/>
                <w:szCs w:val="21"/>
                <w:highlight w:val="none"/>
              </w:rPr>
            </w:pPr>
            <w:r>
              <w:rPr>
                <w:rFonts w:hint="eastAsia" w:ascii="宋体" w:hAnsi="宋体"/>
                <w:color w:val="auto"/>
                <w:szCs w:val="21"/>
                <w:highlight w:val="none"/>
              </w:rPr>
              <w:t>投标保证金</w:t>
            </w:r>
          </w:p>
        </w:tc>
        <w:tc>
          <w:tcPr>
            <w:tcW w:w="945" w:type="dxa"/>
            <w:noWrap w:val="0"/>
            <w:vAlign w:val="center"/>
          </w:tcPr>
          <w:p>
            <w:pPr>
              <w:spacing w:line="380" w:lineRule="exact"/>
              <w:jc w:val="center"/>
              <w:rPr>
                <w:rFonts w:hint="eastAsia"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6" w:hRule="atLeast"/>
        </w:trPr>
        <w:tc>
          <w:tcPr>
            <w:tcW w:w="1050" w:type="dxa"/>
            <w:noWrap w:val="0"/>
            <w:vAlign w:val="center"/>
          </w:tcPr>
          <w:p>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w:t>
            </w:r>
          </w:p>
        </w:tc>
        <w:tc>
          <w:tcPr>
            <w:tcW w:w="1365" w:type="dxa"/>
            <w:noWrap w:val="0"/>
            <w:vAlign w:val="center"/>
          </w:tcPr>
          <w:p>
            <w:pPr>
              <w:spacing w:line="380" w:lineRule="exact"/>
              <w:rPr>
                <w:rFonts w:hint="eastAsia" w:ascii="宋体" w:hAnsi="宋体"/>
                <w:color w:val="auto"/>
                <w:szCs w:val="21"/>
                <w:highlight w:val="none"/>
              </w:rPr>
            </w:pPr>
          </w:p>
        </w:tc>
        <w:tc>
          <w:tcPr>
            <w:tcW w:w="1470" w:type="dxa"/>
            <w:noWrap w:val="0"/>
            <w:vAlign w:val="center"/>
          </w:tcPr>
          <w:p>
            <w:pPr>
              <w:spacing w:line="380" w:lineRule="exact"/>
              <w:rPr>
                <w:rFonts w:hint="eastAsia" w:ascii="宋体" w:hAnsi="宋体"/>
                <w:color w:val="auto"/>
                <w:szCs w:val="21"/>
                <w:highlight w:val="none"/>
              </w:rPr>
            </w:pPr>
          </w:p>
        </w:tc>
        <w:tc>
          <w:tcPr>
            <w:tcW w:w="1155" w:type="dxa"/>
            <w:noWrap w:val="0"/>
            <w:vAlign w:val="center"/>
          </w:tcPr>
          <w:p>
            <w:pPr>
              <w:spacing w:line="380" w:lineRule="exact"/>
              <w:rPr>
                <w:rFonts w:hint="eastAsia" w:ascii="宋体" w:hAnsi="宋体"/>
                <w:color w:val="auto"/>
                <w:szCs w:val="21"/>
                <w:highlight w:val="none"/>
              </w:rPr>
            </w:pPr>
          </w:p>
        </w:tc>
        <w:tc>
          <w:tcPr>
            <w:tcW w:w="1260" w:type="dxa"/>
            <w:noWrap w:val="0"/>
            <w:vAlign w:val="center"/>
          </w:tcPr>
          <w:p>
            <w:pPr>
              <w:spacing w:line="380" w:lineRule="exact"/>
              <w:rPr>
                <w:rFonts w:hint="eastAsia" w:ascii="宋体" w:hAnsi="宋体"/>
                <w:color w:val="auto"/>
                <w:szCs w:val="21"/>
                <w:highlight w:val="none"/>
              </w:rPr>
            </w:pPr>
          </w:p>
        </w:tc>
        <w:tc>
          <w:tcPr>
            <w:tcW w:w="1365" w:type="dxa"/>
            <w:noWrap w:val="0"/>
            <w:vAlign w:val="center"/>
          </w:tcPr>
          <w:p>
            <w:pPr>
              <w:spacing w:line="380" w:lineRule="exact"/>
              <w:rPr>
                <w:rFonts w:hint="eastAsia" w:ascii="宋体" w:hAnsi="宋体"/>
                <w:color w:val="auto"/>
                <w:szCs w:val="21"/>
                <w:highlight w:val="none"/>
              </w:rPr>
            </w:pPr>
          </w:p>
        </w:tc>
        <w:tc>
          <w:tcPr>
            <w:tcW w:w="1260" w:type="dxa"/>
            <w:noWrap w:val="0"/>
            <w:vAlign w:val="center"/>
          </w:tcPr>
          <w:p>
            <w:pPr>
              <w:spacing w:line="380" w:lineRule="exact"/>
              <w:rPr>
                <w:rFonts w:hint="eastAsia" w:ascii="宋体" w:hAnsi="宋体"/>
                <w:color w:val="auto"/>
                <w:szCs w:val="21"/>
                <w:highlight w:val="none"/>
              </w:rPr>
            </w:pPr>
          </w:p>
        </w:tc>
        <w:tc>
          <w:tcPr>
            <w:tcW w:w="840" w:type="dxa"/>
            <w:noWrap w:val="0"/>
            <w:vAlign w:val="center"/>
          </w:tcPr>
          <w:p>
            <w:pPr>
              <w:spacing w:line="380" w:lineRule="exact"/>
              <w:rPr>
                <w:rFonts w:hint="eastAsia" w:ascii="宋体" w:hAnsi="宋体"/>
                <w:color w:val="auto"/>
                <w:szCs w:val="21"/>
                <w:highlight w:val="none"/>
              </w:rPr>
            </w:pPr>
          </w:p>
        </w:tc>
        <w:tc>
          <w:tcPr>
            <w:tcW w:w="1050" w:type="dxa"/>
            <w:noWrap w:val="0"/>
            <w:vAlign w:val="center"/>
          </w:tcPr>
          <w:p>
            <w:pPr>
              <w:spacing w:line="380" w:lineRule="exact"/>
              <w:rPr>
                <w:rFonts w:hint="eastAsia" w:ascii="宋体" w:hAnsi="宋体"/>
                <w:color w:val="auto"/>
                <w:szCs w:val="21"/>
                <w:highlight w:val="none"/>
              </w:rPr>
            </w:pPr>
          </w:p>
        </w:tc>
        <w:tc>
          <w:tcPr>
            <w:tcW w:w="1155" w:type="dxa"/>
            <w:noWrap w:val="0"/>
            <w:vAlign w:val="center"/>
          </w:tcPr>
          <w:p>
            <w:pPr>
              <w:spacing w:line="380" w:lineRule="exact"/>
              <w:rPr>
                <w:rFonts w:hint="eastAsia" w:ascii="宋体" w:hAnsi="宋体"/>
                <w:color w:val="auto"/>
                <w:szCs w:val="21"/>
                <w:highlight w:val="none"/>
              </w:rPr>
            </w:pPr>
          </w:p>
        </w:tc>
        <w:tc>
          <w:tcPr>
            <w:tcW w:w="1575" w:type="dxa"/>
            <w:noWrap w:val="0"/>
            <w:vAlign w:val="center"/>
          </w:tcPr>
          <w:p>
            <w:pPr>
              <w:spacing w:line="380" w:lineRule="exact"/>
              <w:rPr>
                <w:rFonts w:hint="eastAsia" w:ascii="宋体" w:hAnsi="宋体"/>
                <w:color w:val="auto"/>
                <w:szCs w:val="21"/>
                <w:highlight w:val="none"/>
              </w:rPr>
            </w:pPr>
          </w:p>
        </w:tc>
        <w:tc>
          <w:tcPr>
            <w:tcW w:w="945" w:type="dxa"/>
            <w:noWrap w:val="0"/>
            <w:vAlign w:val="center"/>
          </w:tcPr>
          <w:p>
            <w:pPr>
              <w:spacing w:line="38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6" w:hRule="atLeast"/>
        </w:trPr>
        <w:tc>
          <w:tcPr>
            <w:tcW w:w="1050" w:type="dxa"/>
            <w:noWrap w:val="0"/>
            <w:vAlign w:val="center"/>
          </w:tcPr>
          <w:p>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w:t>
            </w:r>
          </w:p>
        </w:tc>
        <w:tc>
          <w:tcPr>
            <w:tcW w:w="1365" w:type="dxa"/>
            <w:noWrap w:val="0"/>
            <w:vAlign w:val="center"/>
          </w:tcPr>
          <w:p>
            <w:pPr>
              <w:spacing w:line="380" w:lineRule="exact"/>
              <w:rPr>
                <w:rFonts w:hint="eastAsia" w:ascii="宋体" w:hAnsi="宋体"/>
                <w:color w:val="auto"/>
                <w:szCs w:val="21"/>
                <w:highlight w:val="none"/>
              </w:rPr>
            </w:pPr>
          </w:p>
        </w:tc>
        <w:tc>
          <w:tcPr>
            <w:tcW w:w="1470" w:type="dxa"/>
            <w:noWrap w:val="0"/>
            <w:vAlign w:val="center"/>
          </w:tcPr>
          <w:p>
            <w:pPr>
              <w:spacing w:line="380" w:lineRule="exact"/>
              <w:jc w:val="center"/>
              <w:rPr>
                <w:rFonts w:hint="eastAsia" w:ascii="宋体" w:hAnsi="宋体"/>
                <w:color w:val="auto"/>
                <w:szCs w:val="21"/>
                <w:highlight w:val="none"/>
              </w:rPr>
            </w:pPr>
          </w:p>
        </w:tc>
        <w:tc>
          <w:tcPr>
            <w:tcW w:w="1155" w:type="dxa"/>
            <w:noWrap w:val="0"/>
            <w:vAlign w:val="center"/>
          </w:tcPr>
          <w:p>
            <w:pPr>
              <w:spacing w:line="380" w:lineRule="exact"/>
              <w:jc w:val="center"/>
              <w:rPr>
                <w:rFonts w:hint="eastAsia" w:ascii="宋体" w:hAnsi="宋体"/>
                <w:color w:val="auto"/>
                <w:szCs w:val="21"/>
                <w:highlight w:val="none"/>
              </w:rPr>
            </w:pPr>
          </w:p>
        </w:tc>
        <w:tc>
          <w:tcPr>
            <w:tcW w:w="1260" w:type="dxa"/>
            <w:noWrap w:val="0"/>
            <w:vAlign w:val="center"/>
          </w:tcPr>
          <w:p>
            <w:pPr>
              <w:spacing w:line="380" w:lineRule="exact"/>
              <w:jc w:val="center"/>
              <w:rPr>
                <w:rFonts w:hint="eastAsia" w:ascii="宋体" w:hAnsi="宋体"/>
                <w:color w:val="auto"/>
                <w:szCs w:val="21"/>
                <w:highlight w:val="none"/>
              </w:rPr>
            </w:pPr>
          </w:p>
        </w:tc>
        <w:tc>
          <w:tcPr>
            <w:tcW w:w="1365" w:type="dxa"/>
            <w:noWrap w:val="0"/>
            <w:vAlign w:val="center"/>
          </w:tcPr>
          <w:p>
            <w:pPr>
              <w:spacing w:line="380" w:lineRule="exact"/>
              <w:jc w:val="center"/>
              <w:rPr>
                <w:rFonts w:hint="eastAsia" w:ascii="宋体" w:hAnsi="宋体"/>
                <w:color w:val="auto"/>
                <w:szCs w:val="21"/>
                <w:highlight w:val="none"/>
              </w:rPr>
            </w:pPr>
          </w:p>
        </w:tc>
        <w:tc>
          <w:tcPr>
            <w:tcW w:w="1260" w:type="dxa"/>
            <w:noWrap w:val="0"/>
            <w:vAlign w:val="center"/>
          </w:tcPr>
          <w:p>
            <w:pPr>
              <w:spacing w:line="380" w:lineRule="exact"/>
              <w:jc w:val="center"/>
              <w:rPr>
                <w:rFonts w:hint="eastAsia" w:ascii="宋体" w:hAnsi="宋体"/>
                <w:color w:val="auto"/>
                <w:szCs w:val="21"/>
                <w:highlight w:val="none"/>
              </w:rPr>
            </w:pPr>
          </w:p>
        </w:tc>
        <w:tc>
          <w:tcPr>
            <w:tcW w:w="840" w:type="dxa"/>
            <w:noWrap w:val="0"/>
            <w:vAlign w:val="center"/>
          </w:tcPr>
          <w:p>
            <w:pPr>
              <w:spacing w:line="380" w:lineRule="exact"/>
              <w:rPr>
                <w:rFonts w:hint="eastAsia" w:ascii="宋体" w:hAnsi="宋体"/>
                <w:color w:val="auto"/>
                <w:szCs w:val="21"/>
                <w:highlight w:val="none"/>
              </w:rPr>
            </w:pPr>
          </w:p>
        </w:tc>
        <w:tc>
          <w:tcPr>
            <w:tcW w:w="1050" w:type="dxa"/>
            <w:noWrap w:val="0"/>
            <w:vAlign w:val="center"/>
          </w:tcPr>
          <w:p>
            <w:pPr>
              <w:spacing w:line="380" w:lineRule="exact"/>
              <w:rPr>
                <w:rFonts w:hint="eastAsia" w:ascii="宋体" w:hAnsi="宋体"/>
                <w:color w:val="auto"/>
                <w:szCs w:val="21"/>
                <w:highlight w:val="none"/>
              </w:rPr>
            </w:pPr>
          </w:p>
        </w:tc>
        <w:tc>
          <w:tcPr>
            <w:tcW w:w="1155" w:type="dxa"/>
            <w:noWrap w:val="0"/>
            <w:vAlign w:val="center"/>
          </w:tcPr>
          <w:p>
            <w:pPr>
              <w:spacing w:line="380" w:lineRule="exact"/>
              <w:rPr>
                <w:rFonts w:hint="eastAsia" w:ascii="宋体" w:hAnsi="宋体"/>
                <w:color w:val="auto"/>
                <w:szCs w:val="21"/>
                <w:highlight w:val="none"/>
              </w:rPr>
            </w:pPr>
          </w:p>
        </w:tc>
        <w:tc>
          <w:tcPr>
            <w:tcW w:w="1575" w:type="dxa"/>
            <w:noWrap w:val="0"/>
            <w:vAlign w:val="center"/>
          </w:tcPr>
          <w:p>
            <w:pPr>
              <w:spacing w:line="380" w:lineRule="exact"/>
              <w:rPr>
                <w:rFonts w:hint="eastAsia" w:ascii="宋体" w:hAnsi="宋体"/>
                <w:color w:val="auto"/>
                <w:szCs w:val="21"/>
                <w:highlight w:val="none"/>
              </w:rPr>
            </w:pPr>
          </w:p>
        </w:tc>
        <w:tc>
          <w:tcPr>
            <w:tcW w:w="945" w:type="dxa"/>
            <w:noWrap w:val="0"/>
            <w:vAlign w:val="center"/>
          </w:tcPr>
          <w:p>
            <w:pPr>
              <w:spacing w:line="38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6" w:hRule="atLeast"/>
        </w:trPr>
        <w:tc>
          <w:tcPr>
            <w:tcW w:w="1050" w:type="dxa"/>
            <w:noWrap w:val="0"/>
            <w:vAlign w:val="center"/>
          </w:tcPr>
          <w:p>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w:t>
            </w:r>
          </w:p>
        </w:tc>
        <w:tc>
          <w:tcPr>
            <w:tcW w:w="1365" w:type="dxa"/>
            <w:noWrap w:val="0"/>
            <w:vAlign w:val="center"/>
          </w:tcPr>
          <w:p>
            <w:pPr>
              <w:spacing w:line="380" w:lineRule="exact"/>
              <w:rPr>
                <w:rFonts w:hint="eastAsia" w:ascii="宋体" w:hAnsi="宋体"/>
                <w:color w:val="auto"/>
                <w:szCs w:val="21"/>
                <w:highlight w:val="none"/>
              </w:rPr>
            </w:pPr>
          </w:p>
        </w:tc>
        <w:tc>
          <w:tcPr>
            <w:tcW w:w="1470" w:type="dxa"/>
            <w:noWrap w:val="0"/>
            <w:vAlign w:val="center"/>
          </w:tcPr>
          <w:p>
            <w:pPr>
              <w:spacing w:line="380" w:lineRule="exact"/>
              <w:rPr>
                <w:rFonts w:hint="eastAsia" w:ascii="宋体" w:hAnsi="宋体"/>
                <w:color w:val="auto"/>
                <w:szCs w:val="21"/>
                <w:highlight w:val="none"/>
              </w:rPr>
            </w:pPr>
          </w:p>
        </w:tc>
        <w:tc>
          <w:tcPr>
            <w:tcW w:w="1155" w:type="dxa"/>
            <w:noWrap w:val="0"/>
            <w:vAlign w:val="center"/>
          </w:tcPr>
          <w:p>
            <w:pPr>
              <w:spacing w:line="380" w:lineRule="exact"/>
              <w:rPr>
                <w:rFonts w:hint="eastAsia" w:ascii="宋体" w:hAnsi="宋体"/>
                <w:color w:val="auto"/>
                <w:szCs w:val="21"/>
                <w:highlight w:val="none"/>
              </w:rPr>
            </w:pPr>
          </w:p>
        </w:tc>
        <w:tc>
          <w:tcPr>
            <w:tcW w:w="1260" w:type="dxa"/>
            <w:noWrap w:val="0"/>
            <w:vAlign w:val="center"/>
          </w:tcPr>
          <w:p>
            <w:pPr>
              <w:spacing w:line="380" w:lineRule="exact"/>
              <w:rPr>
                <w:rFonts w:hint="eastAsia" w:ascii="宋体" w:hAnsi="宋体"/>
                <w:color w:val="auto"/>
                <w:szCs w:val="21"/>
                <w:highlight w:val="none"/>
              </w:rPr>
            </w:pPr>
          </w:p>
        </w:tc>
        <w:tc>
          <w:tcPr>
            <w:tcW w:w="1365" w:type="dxa"/>
            <w:noWrap w:val="0"/>
            <w:vAlign w:val="center"/>
          </w:tcPr>
          <w:p>
            <w:pPr>
              <w:spacing w:line="380" w:lineRule="exact"/>
              <w:rPr>
                <w:rFonts w:hint="eastAsia" w:ascii="宋体" w:hAnsi="宋体"/>
                <w:color w:val="auto"/>
                <w:szCs w:val="21"/>
                <w:highlight w:val="none"/>
              </w:rPr>
            </w:pPr>
          </w:p>
        </w:tc>
        <w:tc>
          <w:tcPr>
            <w:tcW w:w="1260" w:type="dxa"/>
            <w:noWrap w:val="0"/>
            <w:vAlign w:val="center"/>
          </w:tcPr>
          <w:p>
            <w:pPr>
              <w:spacing w:line="380" w:lineRule="exact"/>
              <w:rPr>
                <w:rFonts w:hint="eastAsia" w:ascii="宋体" w:hAnsi="宋体"/>
                <w:color w:val="auto"/>
                <w:szCs w:val="21"/>
                <w:highlight w:val="none"/>
              </w:rPr>
            </w:pPr>
          </w:p>
        </w:tc>
        <w:tc>
          <w:tcPr>
            <w:tcW w:w="840" w:type="dxa"/>
            <w:noWrap w:val="0"/>
            <w:vAlign w:val="center"/>
          </w:tcPr>
          <w:p>
            <w:pPr>
              <w:spacing w:line="380" w:lineRule="exact"/>
              <w:rPr>
                <w:rFonts w:hint="eastAsia" w:ascii="宋体" w:hAnsi="宋体"/>
                <w:color w:val="auto"/>
                <w:szCs w:val="21"/>
                <w:highlight w:val="none"/>
              </w:rPr>
            </w:pPr>
          </w:p>
        </w:tc>
        <w:tc>
          <w:tcPr>
            <w:tcW w:w="1050" w:type="dxa"/>
            <w:noWrap w:val="0"/>
            <w:vAlign w:val="center"/>
          </w:tcPr>
          <w:p>
            <w:pPr>
              <w:spacing w:line="380" w:lineRule="exact"/>
              <w:rPr>
                <w:rFonts w:hint="eastAsia" w:ascii="宋体" w:hAnsi="宋体"/>
                <w:color w:val="auto"/>
                <w:szCs w:val="21"/>
                <w:highlight w:val="none"/>
              </w:rPr>
            </w:pPr>
          </w:p>
        </w:tc>
        <w:tc>
          <w:tcPr>
            <w:tcW w:w="1155" w:type="dxa"/>
            <w:noWrap w:val="0"/>
            <w:vAlign w:val="center"/>
          </w:tcPr>
          <w:p>
            <w:pPr>
              <w:spacing w:line="380" w:lineRule="exact"/>
              <w:rPr>
                <w:rFonts w:hint="eastAsia" w:ascii="宋体" w:hAnsi="宋体"/>
                <w:color w:val="auto"/>
                <w:szCs w:val="21"/>
                <w:highlight w:val="none"/>
              </w:rPr>
            </w:pPr>
          </w:p>
        </w:tc>
        <w:tc>
          <w:tcPr>
            <w:tcW w:w="1575" w:type="dxa"/>
            <w:noWrap w:val="0"/>
            <w:vAlign w:val="center"/>
          </w:tcPr>
          <w:p>
            <w:pPr>
              <w:spacing w:line="380" w:lineRule="exact"/>
              <w:rPr>
                <w:rFonts w:hint="eastAsia" w:ascii="宋体" w:hAnsi="宋体"/>
                <w:color w:val="auto"/>
                <w:szCs w:val="21"/>
                <w:highlight w:val="none"/>
              </w:rPr>
            </w:pPr>
          </w:p>
        </w:tc>
        <w:tc>
          <w:tcPr>
            <w:tcW w:w="945" w:type="dxa"/>
            <w:noWrap w:val="0"/>
            <w:vAlign w:val="center"/>
          </w:tcPr>
          <w:p>
            <w:pPr>
              <w:spacing w:line="38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7" w:hRule="atLeast"/>
        </w:trPr>
        <w:tc>
          <w:tcPr>
            <w:tcW w:w="1050" w:type="dxa"/>
            <w:noWrap w:val="0"/>
            <w:vAlign w:val="center"/>
          </w:tcPr>
          <w:p>
            <w:pPr>
              <w:spacing w:line="380" w:lineRule="exact"/>
              <w:rPr>
                <w:rFonts w:hint="eastAsia" w:ascii="宋体" w:hAnsi="宋体"/>
                <w:color w:val="auto"/>
                <w:szCs w:val="21"/>
                <w:highlight w:val="none"/>
              </w:rPr>
            </w:pPr>
          </w:p>
        </w:tc>
        <w:tc>
          <w:tcPr>
            <w:tcW w:w="1365" w:type="dxa"/>
            <w:noWrap w:val="0"/>
            <w:vAlign w:val="center"/>
          </w:tcPr>
          <w:p>
            <w:pPr>
              <w:spacing w:line="380" w:lineRule="exact"/>
              <w:rPr>
                <w:rFonts w:hint="eastAsia" w:ascii="宋体" w:hAnsi="宋体"/>
                <w:color w:val="auto"/>
                <w:szCs w:val="21"/>
                <w:highlight w:val="none"/>
              </w:rPr>
            </w:pPr>
          </w:p>
        </w:tc>
        <w:tc>
          <w:tcPr>
            <w:tcW w:w="1470" w:type="dxa"/>
            <w:noWrap w:val="0"/>
            <w:vAlign w:val="center"/>
          </w:tcPr>
          <w:p>
            <w:pPr>
              <w:spacing w:line="380" w:lineRule="exact"/>
              <w:rPr>
                <w:rFonts w:hint="eastAsia" w:ascii="宋体" w:hAnsi="宋体"/>
                <w:color w:val="auto"/>
                <w:szCs w:val="21"/>
                <w:highlight w:val="none"/>
              </w:rPr>
            </w:pPr>
          </w:p>
        </w:tc>
        <w:tc>
          <w:tcPr>
            <w:tcW w:w="1155" w:type="dxa"/>
            <w:noWrap w:val="0"/>
            <w:vAlign w:val="center"/>
          </w:tcPr>
          <w:p>
            <w:pPr>
              <w:spacing w:line="380" w:lineRule="exact"/>
              <w:rPr>
                <w:rFonts w:hint="eastAsia" w:ascii="宋体" w:hAnsi="宋体"/>
                <w:color w:val="auto"/>
                <w:szCs w:val="21"/>
                <w:highlight w:val="none"/>
              </w:rPr>
            </w:pPr>
          </w:p>
        </w:tc>
        <w:tc>
          <w:tcPr>
            <w:tcW w:w="1260" w:type="dxa"/>
            <w:noWrap w:val="0"/>
            <w:vAlign w:val="center"/>
          </w:tcPr>
          <w:p>
            <w:pPr>
              <w:spacing w:line="380" w:lineRule="exact"/>
              <w:rPr>
                <w:rFonts w:hint="eastAsia" w:ascii="宋体" w:hAnsi="宋体"/>
                <w:color w:val="auto"/>
                <w:szCs w:val="21"/>
                <w:highlight w:val="none"/>
              </w:rPr>
            </w:pPr>
          </w:p>
        </w:tc>
        <w:tc>
          <w:tcPr>
            <w:tcW w:w="1365" w:type="dxa"/>
            <w:noWrap w:val="0"/>
            <w:vAlign w:val="center"/>
          </w:tcPr>
          <w:p>
            <w:pPr>
              <w:spacing w:line="380" w:lineRule="exact"/>
              <w:rPr>
                <w:rFonts w:hint="eastAsia" w:ascii="宋体" w:hAnsi="宋体"/>
                <w:color w:val="auto"/>
                <w:szCs w:val="21"/>
                <w:highlight w:val="none"/>
              </w:rPr>
            </w:pPr>
          </w:p>
        </w:tc>
        <w:tc>
          <w:tcPr>
            <w:tcW w:w="1260" w:type="dxa"/>
            <w:noWrap w:val="0"/>
            <w:vAlign w:val="center"/>
          </w:tcPr>
          <w:p>
            <w:pPr>
              <w:spacing w:line="380" w:lineRule="exact"/>
              <w:rPr>
                <w:rFonts w:hint="eastAsia" w:ascii="宋体" w:hAnsi="宋体"/>
                <w:color w:val="auto"/>
                <w:szCs w:val="21"/>
                <w:highlight w:val="none"/>
              </w:rPr>
            </w:pPr>
          </w:p>
        </w:tc>
        <w:tc>
          <w:tcPr>
            <w:tcW w:w="840" w:type="dxa"/>
            <w:noWrap w:val="0"/>
            <w:vAlign w:val="center"/>
          </w:tcPr>
          <w:p>
            <w:pPr>
              <w:spacing w:line="380" w:lineRule="exact"/>
              <w:rPr>
                <w:rFonts w:hint="eastAsia" w:ascii="宋体" w:hAnsi="宋体"/>
                <w:color w:val="auto"/>
                <w:szCs w:val="21"/>
                <w:highlight w:val="none"/>
              </w:rPr>
            </w:pPr>
          </w:p>
        </w:tc>
        <w:tc>
          <w:tcPr>
            <w:tcW w:w="1050" w:type="dxa"/>
            <w:noWrap w:val="0"/>
            <w:vAlign w:val="center"/>
          </w:tcPr>
          <w:p>
            <w:pPr>
              <w:spacing w:line="380" w:lineRule="exact"/>
              <w:rPr>
                <w:rFonts w:hint="eastAsia" w:ascii="宋体" w:hAnsi="宋体"/>
                <w:color w:val="auto"/>
                <w:szCs w:val="21"/>
                <w:highlight w:val="none"/>
              </w:rPr>
            </w:pPr>
          </w:p>
        </w:tc>
        <w:tc>
          <w:tcPr>
            <w:tcW w:w="1155" w:type="dxa"/>
            <w:noWrap w:val="0"/>
            <w:vAlign w:val="center"/>
          </w:tcPr>
          <w:p>
            <w:pPr>
              <w:spacing w:line="380" w:lineRule="exact"/>
              <w:rPr>
                <w:rFonts w:hint="eastAsia" w:ascii="宋体" w:hAnsi="宋体"/>
                <w:color w:val="auto"/>
                <w:szCs w:val="21"/>
                <w:highlight w:val="none"/>
              </w:rPr>
            </w:pPr>
          </w:p>
        </w:tc>
        <w:tc>
          <w:tcPr>
            <w:tcW w:w="1575" w:type="dxa"/>
            <w:noWrap w:val="0"/>
            <w:vAlign w:val="center"/>
          </w:tcPr>
          <w:p>
            <w:pPr>
              <w:spacing w:line="380" w:lineRule="exact"/>
              <w:rPr>
                <w:rFonts w:hint="eastAsia" w:ascii="宋体" w:hAnsi="宋体"/>
                <w:color w:val="auto"/>
                <w:szCs w:val="21"/>
                <w:highlight w:val="none"/>
              </w:rPr>
            </w:pPr>
          </w:p>
        </w:tc>
        <w:tc>
          <w:tcPr>
            <w:tcW w:w="945" w:type="dxa"/>
            <w:noWrap w:val="0"/>
            <w:vAlign w:val="center"/>
          </w:tcPr>
          <w:p>
            <w:pPr>
              <w:spacing w:line="38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7" w:hRule="atLeast"/>
        </w:trPr>
        <w:tc>
          <w:tcPr>
            <w:tcW w:w="7665" w:type="dxa"/>
            <w:gridSpan w:val="6"/>
            <w:noWrap w:val="0"/>
            <w:vAlign w:val="center"/>
          </w:tcPr>
          <w:p>
            <w:pPr>
              <w:spacing w:line="380" w:lineRule="exact"/>
              <w:rPr>
                <w:rFonts w:hint="eastAsia" w:ascii="宋体" w:hAnsi="宋体"/>
                <w:color w:val="auto"/>
                <w:szCs w:val="21"/>
                <w:highlight w:val="none"/>
              </w:rPr>
            </w:pPr>
            <w:r>
              <w:rPr>
                <w:rFonts w:hint="eastAsia" w:ascii="宋体" w:hAnsi="宋体"/>
                <w:color w:val="auto"/>
                <w:szCs w:val="21"/>
                <w:highlight w:val="none"/>
              </w:rPr>
              <w:t>投标总价(现场交货价)</w:t>
            </w:r>
          </w:p>
        </w:tc>
        <w:tc>
          <w:tcPr>
            <w:tcW w:w="3150" w:type="dxa"/>
            <w:gridSpan w:val="3"/>
            <w:noWrap w:val="0"/>
            <w:vAlign w:val="center"/>
          </w:tcPr>
          <w:p>
            <w:pPr>
              <w:spacing w:line="380" w:lineRule="exact"/>
              <w:rPr>
                <w:rFonts w:hint="eastAsia" w:ascii="宋体" w:hAnsi="宋体"/>
                <w:color w:val="auto"/>
                <w:szCs w:val="21"/>
                <w:highlight w:val="none"/>
              </w:rPr>
            </w:pPr>
            <w:r>
              <w:rPr>
                <w:rFonts w:hint="eastAsia" w:ascii="宋体" w:hAnsi="宋体"/>
                <w:color w:val="auto"/>
                <w:szCs w:val="21"/>
                <w:highlight w:val="none"/>
              </w:rPr>
              <w:t>大写:</w:t>
            </w:r>
          </w:p>
        </w:tc>
        <w:tc>
          <w:tcPr>
            <w:tcW w:w="3675" w:type="dxa"/>
            <w:gridSpan w:val="3"/>
            <w:noWrap w:val="0"/>
            <w:vAlign w:val="center"/>
          </w:tcPr>
          <w:p>
            <w:pPr>
              <w:spacing w:line="380" w:lineRule="exact"/>
              <w:rPr>
                <w:rFonts w:hint="eastAsia" w:ascii="宋体" w:hAnsi="宋体"/>
                <w:color w:val="auto"/>
                <w:szCs w:val="21"/>
                <w:highlight w:val="none"/>
              </w:rPr>
            </w:pPr>
            <w:r>
              <w:rPr>
                <w:rFonts w:hint="eastAsia" w:ascii="宋体" w:hAnsi="宋体"/>
                <w:color w:val="auto"/>
                <w:szCs w:val="21"/>
                <w:highlight w:val="none"/>
              </w:rPr>
              <w:t>小写:</w:t>
            </w:r>
          </w:p>
        </w:tc>
      </w:tr>
    </w:tbl>
    <w:p>
      <w:pPr>
        <w:spacing w:line="3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注：</w:t>
      </w:r>
    </w:p>
    <w:p>
      <w:pPr>
        <w:tabs>
          <w:tab w:val="left" w:pos="13000"/>
        </w:tabs>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 本表以合同包为单位，不同合同包请分别填写并分页制作，同一合同包请按照该合同包的品目号顺序分别填写。</w:t>
      </w:r>
    </w:p>
    <w:p>
      <w:pPr>
        <w:tabs>
          <w:tab w:val="left" w:pos="13000"/>
        </w:tabs>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 当一个合同包有多个品目号时，投标人应计算出该合同包的合计价。</w:t>
      </w:r>
    </w:p>
    <w:p>
      <w:pPr>
        <w:tabs>
          <w:tab w:val="left" w:pos="13000"/>
        </w:tabs>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 表中“品牌、规格、型号</w:t>
      </w:r>
      <w:r>
        <w:rPr>
          <w:rFonts w:ascii="宋体" w:hAnsi="宋体"/>
          <w:color w:val="auto"/>
          <w:szCs w:val="21"/>
          <w:highlight w:val="none"/>
        </w:rPr>
        <w:t>”</w:t>
      </w:r>
      <w:r>
        <w:rPr>
          <w:rFonts w:hint="eastAsia" w:ascii="宋体" w:hAnsi="宋体"/>
          <w:color w:val="auto"/>
          <w:szCs w:val="21"/>
          <w:highlight w:val="none"/>
        </w:rPr>
        <w:t>栏中注明的规格型号应与国家有关部门颁发的证书中标注的型号一致。</w:t>
      </w:r>
    </w:p>
    <w:p>
      <w:pPr>
        <w:spacing w:line="380" w:lineRule="exact"/>
        <w:ind w:firstLine="210" w:firstLineChars="100"/>
        <w:rPr>
          <w:rFonts w:hint="eastAsia" w:ascii="宋体" w:hAnsi="宋体"/>
          <w:color w:val="auto"/>
          <w:szCs w:val="21"/>
          <w:highlight w:val="none"/>
          <w:u w:val="single"/>
        </w:rPr>
      </w:pPr>
      <w:r>
        <w:rPr>
          <w:rFonts w:hint="eastAsia" w:ascii="宋体" w:hAnsi="宋体"/>
          <w:color w:val="auto"/>
          <w:szCs w:val="21"/>
          <w:highlight w:val="none"/>
        </w:rPr>
        <w:t>投标人代表签字</w:t>
      </w:r>
      <w:r>
        <w:rPr>
          <w:rFonts w:hint="eastAsia" w:ascii="宋体" w:hAnsi="宋体"/>
          <w:color w:val="auto"/>
          <w:szCs w:val="21"/>
          <w:highlight w:val="none"/>
          <w:u w:val="single"/>
        </w:rPr>
        <w:t xml:space="preserve">：               </w:t>
      </w:r>
    </w:p>
    <w:p>
      <w:pPr>
        <w:pStyle w:val="22"/>
        <w:jc w:val="left"/>
        <w:outlineLvl w:val="9"/>
        <w:rPr>
          <w:rFonts w:hAnsi="宋体"/>
          <w:color w:val="auto"/>
          <w:sz w:val="21"/>
          <w:szCs w:val="21"/>
          <w:highlight w:val="none"/>
        </w:rPr>
        <w:sectPr>
          <w:pgSz w:w="16840" w:h="11907" w:orient="landscape"/>
          <w:pgMar w:top="1752" w:right="1440" w:bottom="1752" w:left="1440" w:header="851" w:footer="992" w:gutter="0"/>
          <w:pgNumType w:fmt="decimal"/>
          <w:cols w:space="720" w:num="1"/>
          <w:docGrid w:linePitch="323" w:charSpace="-2"/>
        </w:sectPr>
      </w:pPr>
    </w:p>
    <w:p>
      <w:pPr>
        <w:pStyle w:val="22"/>
        <w:jc w:val="left"/>
        <w:rPr>
          <w:rFonts w:hAnsi="宋体"/>
          <w:color w:val="auto"/>
          <w:sz w:val="21"/>
          <w:szCs w:val="21"/>
          <w:highlight w:val="none"/>
        </w:rPr>
      </w:pPr>
      <w:bookmarkStart w:id="55" w:name="_Toc15347"/>
      <w:bookmarkStart w:id="56" w:name="_Toc7371"/>
      <w:bookmarkStart w:id="57" w:name="_Toc30708"/>
      <w:r>
        <w:rPr>
          <w:rFonts w:hAnsi="宋体"/>
          <w:color w:val="auto"/>
          <w:sz w:val="21"/>
          <w:szCs w:val="21"/>
          <w:highlight w:val="none"/>
        </w:rPr>
        <w:t>附件1</w:t>
      </w:r>
      <w:r>
        <w:rPr>
          <w:rFonts w:hint="eastAsia" w:hAnsi="宋体"/>
          <w:color w:val="auto"/>
          <w:sz w:val="21"/>
          <w:szCs w:val="21"/>
          <w:highlight w:val="none"/>
          <w:lang w:val="en-US" w:eastAsia="zh-CN"/>
        </w:rPr>
        <w:t>3</w:t>
      </w:r>
      <w:r>
        <w:rPr>
          <w:rFonts w:hAnsi="宋体"/>
          <w:color w:val="auto"/>
          <w:sz w:val="21"/>
          <w:szCs w:val="21"/>
          <w:highlight w:val="none"/>
        </w:rPr>
        <w:t>、</w:t>
      </w:r>
      <w:bookmarkEnd w:id="55"/>
      <w:bookmarkEnd w:id="56"/>
      <w:bookmarkEnd w:id="57"/>
    </w:p>
    <w:p>
      <w:pPr>
        <w:jc w:val="center"/>
        <w:rPr>
          <w:rFonts w:hint="eastAsia" w:ascii="宋体" w:hAnsi="宋体"/>
          <w:b/>
          <w:color w:val="auto"/>
          <w:szCs w:val="21"/>
          <w:highlight w:val="none"/>
        </w:rPr>
      </w:pPr>
      <w:r>
        <w:rPr>
          <w:rFonts w:hint="eastAsia" w:ascii="宋体" w:hAnsi="宋体"/>
          <w:b/>
          <w:color w:val="auto"/>
          <w:sz w:val="32"/>
          <w:szCs w:val="32"/>
          <w:highlight w:val="none"/>
        </w:rPr>
        <w:t>投标分项报价表</w:t>
      </w:r>
      <w:r>
        <w:rPr>
          <w:rFonts w:hint="eastAsia" w:ascii="宋体" w:hAnsi="宋体"/>
          <w:b/>
          <w:color w:val="auto"/>
          <w:szCs w:val="21"/>
          <w:highlight w:val="none"/>
        </w:rPr>
        <w:t xml:space="preserve"> </w:t>
      </w:r>
    </w:p>
    <w:p>
      <w:pPr>
        <w:jc w:val="center"/>
        <w:rPr>
          <w:rFonts w:hint="eastAsia" w:ascii="宋体" w:hAnsi="宋体"/>
          <w:b/>
          <w:color w:val="auto"/>
          <w:sz w:val="32"/>
          <w:szCs w:val="32"/>
          <w:highlight w:val="none"/>
        </w:rPr>
      </w:pPr>
      <w:r>
        <w:rPr>
          <w:rFonts w:hint="eastAsia" w:ascii="宋体" w:hAnsi="宋体"/>
          <w:b/>
          <w:color w:val="auto"/>
          <w:sz w:val="32"/>
          <w:szCs w:val="32"/>
          <w:highlight w:val="none"/>
        </w:rPr>
        <w:t>表13-1、投标货物分项报价表</w:t>
      </w:r>
    </w:p>
    <w:p>
      <w:pPr>
        <w:jc w:val="center"/>
        <w:rPr>
          <w:rFonts w:hint="eastAsia" w:ascii="宋体" w:hAnsi="宋体"/>
          <w:b/>
          <w:color w:val="auto"/>
          <w:sz w:val="32"/>
          <w:szCs w:val="32"/>
          <w:highlight w:val="none"/>
        </w:rPr>
      </w:pPr>
    </w:p>
    <w:p>
      <w:pPr>
        <w:spacing w:line="380" w:lineRule="exact"/>
        <w:rPr>
          <w:rFonts w:hint="eastAsia" w:ascii="宋体" w:hAnsi="宋体"/>
          <w:color w:val="auto"/>
          <w:sz w:val="24"/>
          <w:highlight w:val="none"/>
        </w:rPr>
      </w:pPr>
      <w:r>
        <w:rPr>
          <w:rFonts w:hint="eastAsia" w:ascii="宋体" w:hAnsi="宋体"/>
          <w:color w:val="auto"/>
          <w:szCs w:val="21"/>
          <w:highlight w:val="none"/>
        </w:rPr>
        <w:t>投标人名称（公章）：</w:t>
      </w:r>
      <w:r>
        <w:rPr>
          <w:rFonts w:hint="eastAsia" w:ascii="宋体" w:hAnsi="宋体"/>
          <w:color w:val="auto"/>
          <w:sz w:val="24"/>
          <w:highlight w:val="none"/>
        </w:rPr>
        <w:t xml:space="preserve">          </w:t>
      </w:r>
      <w:r>
        <w:rPr>
          <w:rFonts w:hint="eastAsia" w:ascii="宋体" w:hAnsi="宋体"/>
          <w:color w:val="auto"/>
          <w:szCs w:val="21"/>
          <w:highlight w:val="none"/>
        </w:rPr>
        <w:t xml:space="preserve">             项目编号：                  货币单位：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20"/>
        <w:gridCol w:w="1108"/>
        <w:gridCol w:w="2180"/>
        <w:gridCol w:w="1110"/>
        <w:gridCol w:w="975"/>
        <w:gridCol w:w="976"/>
        <w:gridCol w:w="932"/>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trPr>
        <w:tc>
          <w:tcPr>
            <w:tcW w:w="520" w:type="dxa"/>
            <w:noWrap w:val="0"/>
            <w:vAlign w:val="center"/>
          </w:tcPr>
          <w:p>
            <w:pPr>
              <w:spacing w:line="380" w:lineRule="exact"/>
              <w:jc w:val="center"/>
              <w:rPr>
                <w:rFonts w:ascii="宋体" w:hAnsi="宋体"/>
                <w:color w:val="auto"/>
                <w:szCs w:val="21"/>
                <w:highlight w:val="none"/>
              </w:rPr>
            </w:pPr>
            <w:r>
              <w:rPr>
                <w:rFonts w:ascii="宋体" w:hAnsi="宋体"/>
                <w:color w:val="auto"/>
                <w:szCs w:val="21"/>
                <w:highlight w:val="none"/>
              </w:rPr>
              <w:t>1</w:t>
            </w:r>
          </w:p>
        </w:tc>
        <w:tc>
          <w:tcPr>
            <w:tcW w:w="3288" w:type="dxa"/>
            <w:gridSpan w:val="2"/>
            <w:noWrap w:val="0"/>
            <w:vAlign w:val="center"/>
          </w:tcPr>
          <w:p>
            <w:pPr>
              <w:spacing w:line="380" w:lineRule="exact"/>
              <w:rPr>
                <w:rFonts w:ascii="宋体" w:hAnsi="宋体"/>
                <w:color w:val="auto"/>
                <w:szCs w:val="21"/>
                <w:highlight w:val="none"/>
              </w:rPr>
            </w:pPr>
            <w:r>
              <w:rPr>
                <w:rFonts w:hint="eastAsia" w:ascii="宋体" w:hAnsi="宋体"/>
                <w:color w:val="auto"/>
                <w:szCs w:val="21"/>
                <w:highlight w:val="none"/>
              </w:rPr>
              <w:t>合同包/品目号</w:t>
            </w:r>
          </w:p>
        </w:tc>
        <w:tc>
          <w:tcPr>
            <w:tcW w:w="1110" w:type="dxa"/>
            <w:noWrap w:val="0"/>
            <w:vAlign w:val="center"/>
          </w:tcPr>
          <w:p>
            <w:pPr>
              <w:spacing w:line="380" w:lineRule="exact"/>
              <w:jc w:val="center"/>
              <w:rPr>
                <w:rFonts w:hint="eastAsia" w:ascii="宋体" w:hAnsi="宋体"/>
                <w:color w:val="auto"/>
                <w:szCs w:val="21"/>
                <w:highlight w:val="none"/>
              </w:rPr>
            </w:pPr>
            <w:r>
              <w:rPr>
                <w:rFonts w:hint="eastAsia" w:ascii="宋体" w:hAnsi="宋体"/>
                <w:color w:val="auto"/>
                <w:szCs w:val="21"/>
                <w:highlight w:val="none"/>
              </w:rPr>
              <w:t xml:space="preserve"> </w:t>
            </w:r>
          </w:p>
        </w:tc>
        <w:tc>
          <w:tcPr>
            <w:tcW w:w="975" w:type="dxa"/>
            <w:noWrap w:val="0"/>
            <w:vAlign w:val="center"/>
          </w:tcPr>
          <w:p>
            <w:pPr>
              <w:spacing w:line="380" w:lineRule="exact"/>
              <w:jc w:val="center"/>
              <w:rPr>
                <w:rFonts w:hint="eastAsia" w:ascii="宋体" w:hAnsi="宋体"/>
                <w:color w:val="auto"/>
                <w:szCs w:val="21"/>
                <w:highlight w:val="none"/>
              </w:rPr>
            </w:pPr>
            <w:r>
              <w:rPr>
                <w:rFonts w:hint="eastAsia" w:ascii="宋体" w:hAnsi="宋体"/>
                <w:color w:val="auto"/>
                <w:szCs w:val="21"/>
                <w:highlight w:val="none"/>
              </w:rPr>
              <w:t xml:space="preserve"> </w:t>
            </w:r>
          </w:p>
        </w:tc>
        <w:tc>
          <w:tcPr>
            <w:tcW w:w="976" w:type="dxa"/>
            <w:noWrap w:val="0"/>
            <w:vAlign w:val="center"/>
          </w:tcPr>
          <w:p>
            <w:pPr>
              <w:spacing w:line="380" w:lineRule="exact"/>
              <w:jc w:val="center"/>
              <w:rPr>
                <w:rFonts w:hint="eastAsia" w:ascii="宋体" w:hAnsi="宋体"/>
                <w:color w:val="auto"/>
                <w:szCs w:val="21"/>
                <w:highlight w:val="none"/>
              </w:rPr>
            </w:pPr>
            <w:r>
              <w:rPr>
                <w:rFonts w:hint="eastAsia" w:ascii="宋体" w:hAnsi="宋体"/>
                <w:color w:val="auto"/>
                <w:szCs w:val="21"/>
                <w:highlight w:val="none"/>
              </w:rPr>
              <w:t xml:space="preserve"> </w:t>
            </w:r>
          </w:p>
        </w:tc>
        <w:tc>
          <w:tcPr>
            <w:tcW w:w="932" w:type="dxa"/>
            <w:noWrap w:val="0"/>
            <w:vAlign w:val="center"/>
          </w:tcPr>
          <w:p>
            <w:pPr>
              <w:spacing w:line="380" w:lineRule="exact"/>
              <w:jc w:val="center"/>
              <w:rPr>
                <w:rFonts w:hint="eastAsia" w:ascii="宋体" w:hAnsi="宋体"/>
                <w:color w:val="auto"/>
                <w:szCs w:val="21"/>
                <w:highlight w:val="none"/>
              </w:rPr>
            </w:pPr>
            <w:r>
              <w:rPr>
                <w:rFonts w:hint="eastAsia" w:ascii="宋体" w:hAnsi="宋体"/>
                <w:color w:val="auto"/>
                <w:szCs w:val="21"/>
                <w:highlight w:val="none"/>
              </w:rPr>
              <w:t xml:space="preserve"> </w:t>
            </w:r>
          </w:p>
        </w:tc>
        <w:tc>
          <w:tcPr>
            <w:tcW w:w="933" w:type="dxa"/>
            <w:noWrap w:val="0"/>
            <w:vAlign w:val="center"/>
          </w:tcPr>
          <w:p>
            <w:pPr>
              <w:spacing w:line="380" w:lineRule="exact"/>
              <w:jc w:val="center"/>
              <w:rPr>
                <w:rFonts w:hint="eastAsia" w:ascii="宋体" w:hAnsi="宋体"/>
                <w:color w:val="auto"/>
                <w:szCs w:val="21"/>
                <w:highlight w:val="none"/>
              </w:rPr>
            </w:pPr>
            <w:r>
              <w:rPr>
                <w:rFonts w:hint="eastAsia" w:ascii="宋体" w:hAnsi="宋体"/>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trPr>
        <w:tc>
          <w:tcPr>
            <w:tcW w:w="520" w:type="dxa"/>
            <w:noWrap w:val="0"/>
            <w:vAlign w:val="center"/>
          </w:tcPr>
          <w:p>
            <w:pPr>
              <w:spacing w:line="380" w:lineRule="exact"/>
              <w:jc w:val="center"/>
              <w:rPr>
                <w:rFonts w:ascii="宋体" w:hAnsi="宋体"/>
                <w:color w:val="auto"/>
                <w:szCs w:val="21"/>
                <w:highlight w:val="none"/>
              </w:rPr>
            </w:pPr>
            <w:r>
              <w:rPr>
                <w:rFonts w:ascii="宋体" w:hAnsi="宋体"/>
                <w:color w:val="auto"/>
                <w:szCs w:val="21"/>
                <w:highlight w:val="none"/>
              </w:rPr>
              <w:t>2</w:t>
            </w:r>
          </w:p>
        </w:tc>
        <w:tc>
          <w:tcPr>
            <w:tcW w:w="3288" w:type="dxa"/>
            <w:gridSpan w:val="2"/>
            <w:noWrap w:val="0"/>
            <w:vAlign w:val="center"/>
          </w:tcPr>
          <w:p>
            <w:pPr>
              <w:spacing w:line="380" w:lineRule="exact"/>
              <w:rPr>
                <w:rFonts w:ascii="宋体" w:hAnsi="宋体"/>
                <w:color w:val="auto"/>
                <w:szCs w:val="21"/>
                <w:highlight w:val="none"/>
              </w:rPr>
            </w:pPr>
            <w:r>
              <w:rPr>
                <w:rFonts w:hint="eastAsia" w:ascii="宋体" w:hAnsi="宋体"/>
                <w:color w:val="auto"/>
                <w:szCs w:val="21"/>
                <w:highlight w:val="none"/>
              </w:rPr>
              <w:t>货物名称</w:t>
            </w:r>
          </w:p>
        </w:tc>
        <w:tc>
          <w:tcPr>
            <w:tcW w:w="1110" w:type="dxa"/>
            <w:noWrap w:val="0"/>
            <w:vAlign w:val="center"/>
          </w:tcPr>
          <w:p>
            <w:pPr>
              <w:spacing w:line="380" w:lineRule="exact"/>
              <w:rPr>
                <w:rFonts w:ascii="宋体" w:hAnsi="宋体"/>
                <w:color w:val="auto"/>
                <w:szCs w:val="21"/>
                <w:highlight w:val="none"/>
              </w:rPr>
            </w:pPr>
          </w:p>
        </w:tc>
        <w:tc>
          <w:tcPr>
            <w:tcW w:w="975" w:type="dxa"/>
            <w:noWrap w:val="0"/>
            <w:vAlign w:val="center"/>
          </w:tcPr>
          <w:p>
            <w:pPr>
              <w:spacing w:line="380" w:lineRule="exact"/>
              <w:rPr>
                <w:rFonts w:ascii="宋体" w:hAnsi="宋体"/>
                <w:color w:val="auto"/>
                <w:szCs w:val="21"/>
                <w:highlight w:val="none"/>
              </w:rPr>
            </w:pPr>
          </w:p>
        </w:tc>
        <w:tc>
          <w:tcPr>
            <w:tcW w:w="976" w:type="dxa"/>
            <w:noWrap w:val="0"/>
            <w:vAlign w:val="center"/>
          </w:tcPr>
          <w:p>
            <w:pPr>
              <w:spacing w:line="380" w:lineRule="exact"/>
              <w:rPr>
                <w:rFonts w:ascii="宋体" w:hAnsi="宋体"/>
                <w:color w:val="auto"/>
                <w:szCs w:val="21"/>
                <w:highlight w:val="none"/>
              </w:rPr>
            </w:pPr>
          </w:p>
        </w:tc>
        <w:tc>
          <w:tcPr>
            <w:tcW w:w="932" w:type="dxa"/>
            <w:noWrap w:val="0"/>
            <w:vAlign w:val="center"/>
          </w:tcPr>
          <w:p>
            <w:pPr>
              <w:spacing w:line="380" w:lineRule="exact"/>
              <w:rPr>
                <w:rFonts w:ascii="宋体" w:hAnsi="宋体"/>
                <w:color w:val="auto"/>
                <w:szCs w:val="21"/>
                <w:highlight w:val="none"/>
              </w:rPr>
            </w:pPr>
          </w:p>
        </w:tc>
        <w:tc>
          <w:tcPr>
            <w:tcW w:w="933" w:type="dxa"/>
            <w:noWrap w:val="0"/>
            <w:vAlign w:val="center"/>
          </w:tcPr>
          <w:p>
            <w:pPr>
              <w:spacing w:line="38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trPr>
        <w:tc>
          <w:tcPr>
            <w:tcW w:w="520" w:type="dxa"/>
            <w:noWrap w:val="0"/>
            <w:vAlign w:val="center"/>
          </w:tcPr>
          <w:p>
            <w:pPr>
              <w:spacing w:line="380" w:lineRule="exact"/>
              <w:jc w:val="center"/>
              <w:rPr>
                <w:rFonts w:ascii="宋体" w:hAnsi="宋体"/>
                <w:color w:val="auto"/>
                <w:szCs w:val="21"/>
                <w:highlight w:val="none"/>
              </w:rPr>
            </w:pPr>
            <w:r>
              <w:rPr>
                <w:rFonts w:ascii="宋体" w:hAnsi="宋体"/>
                <w:color w:val="auto"/>
                <w:szCs w:val="21"/>
                <w:highlight w:val="none"/>
              </w:rPr>
              <w:t>3</w:t>
            </w:r>
          </w:p>
        </w:tc>
        <w:tc>
          <w:tcPr>
            <w:tcW w:w="3288" w:type="dxa"/>
            <w:gridSpan w:val="2"/>
            <w:noWrap w:val="0"/>
            <w:vAlign w:val="center"/>
          </w:tcPr>
          <w:p>
            <w:pPr>
              <w:spacing w:line="380" w:lineRule="exact"/>
              <w:rPr>
                <w:rFonts w:ascii="宋体" w:hAnsi="宋体"/>
                <w:color w:val="auto"/>
                <w:szCs w:val="21"/>
                <w:highlight w:val="none"/>
              </w:rPr>
            </w:pPr>
            <w:r>
              <w:rPr>
                <w:rFonts w:hint="eastAsia" w:ascii="宋体" w:hAnsi="宋体"/>
                <w:color w:val="auto"/>
                <w:szCs w:val="21"/>
                <w:highlight w:val="none"/>
              </w:rPr>
              <w:t>原产地</w:t>
            </w:r>
          </w:p>
        </w:tc>
        <w:tc>
          <w:tcPr>
            <w:tcW w:w="1110" w:type="dxa"/>
            <w:noWrap w:val="0"/>
            <w:vAlign w:val="center"/>
          </w:tcPr>
          <w:p>
            <w:pPr>
              <w:spacing w:line="380" w:lineRule="exact"/>
              <w:rPr>
                <w:rFonts w:ascii="宋体" w:hAnsi="宋体"/>
                <w:color w:val="auto"/>
                <w:szCs w:val="21"/>
                <w:highlight w:val="none"/>
              </w:rPr>
            </w:pPr>
          </w:p>
        </w:tc>
        <w:tc>
          <w:tcPr>
            <w:tcW w:w="975" w:type="dxa"/>
            <w:noWrap w:val="0"/>
            <w:vAlign w:val="center"/>
          </w:tcPr>
          <w:p>
            <w:pPr>
              <w:spacing w:line="380" w:lineRule="exact"/>
              <w:rPr>
                <w:rFonts w:ascii="宋体" w:hAnsi="宋体"/>
                <w:color w:val="auto"/>
                <w:szCs w:val="21"/>
                <w:highlight w:val="none"/>
              </w:rPr>
            </w:pPr>
          </w:p>
        </w:tc>
        <w:tc>
          <w:tcPr>
            <w:tcW w:w="976" w:type="dxa"/>
            <w:noWrap w:val="0"/>
            <w:vAlign w:val="center"/>
          </w:tcPr>
          <w:p>
            <w:pPr>
              <w:spacing w:line="380" w:lineRule="exact"/>
              <w:rPr>
                <w:rFonts w:ascii="宋体" w:hAnsi="宋体"/>
                <w:color w:val="auto"/>
                <w:szCs w:val="21"/>
                <w:highlight w:val="none"/>
              </w:rPr>
            </w:pPr>
          </w:p>
        </w:tc>
        <w:tc>
          <w:tcPr>
            <w:tcW w:w="932" w:type="dxa"/>
            <w:noWrap w:val="0"/>
            <w:vAlign w:val="center"/>
          </w:tcPr>
          <w:p>
            <w:pPr>
              <w:spacing w:line="380" w:lineRule="exact"/>
              <w:rPr>
                <w:rFonts w:ascii="宋体" w:hAnsi="宋体"/>
                <w:color w:val="auto"/>
                <w:szCs w:val="21"/>
                <w:highlight w:val="none"/>
              </w:rPr>
            </w:pPr>
          </w:p>
        </w:tc>
        <w:tc>
          <w:tcPr>
            <w:tcW w:w="933" w:type="dxa"/>
            <w:noWrap w:val="0"/>
            <w:vAlign w:val="center"/>
          </w:tcPr>
          <w:p>
            <w:pPr>
              <w:spacing w:line="38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trPr>
        <w:tc>
          <w:tcPr>
            <w:tcW w:w="520" w:type="dxa"/>
            <w:noWrap w:val="0"/>
            <w:vAlign w:val="center"/>
          </w:tcPr>
          <w:p>
            <w:pPr>
              <w:spacing w:line="380" w:lineRule="exact"/>
              <w:jc w:val="center"/>
              <w:rPr>
                <w:rFonts w:ascii="宋体" w:hAnsi="宋体"/>
                <w:color w:val="auto"/>
                <w:szCs w:val="21"/>
                <w:highlight w:val="none"/>
              </w:rPr>
            </w:pPr>
            <w:r>
              <w:rPr>
                <w:rFonts w:ascii="宋体" w:hAnsi="宋体"/>
                <w:color w:val="auto"/>
                <w:szCs w:val="21"/>
                <w:highlight w:val="none"/>
              </w:rPr>
              <w:t>4</w:t>
            </w:r>
          </w:p>
        </w:tc>
        <w:tc>
          <w:tcPr>
            <w:tcW w:w="3288" w:type="dxa"/>
            <w:gridSpan w:val="2"/>
            <w:noWrap w:val="0"/>
            <w:vAlign w:val="center"/>
          </w:tcPr>
          <w:p>
            <w:pPr>
              <w:spacing w:line="380" w:lineRule="exact"/>
              <w:rPr>
                <w:rFonts w:ascii="宋体" w:hAnsi="宋体"/>
                <w:color w:val="auto"/>
                <w:szCs w:val="21"/>
                <w:highlight w:val="none"/>
              </w:rPr>
            </w:pPr>
            <w:r>
              <w:rPr>
                <w:rFonts w:hint="eastAsia" w:ascii="宋体" w:hAnsi="宋体"/>
                <w:color w:val="auto"/>
                <w:szCs w:val="21"/>
                <w:highlight w:val="none"/>
              </w:rPr>
              <w:t>数量、型号、规格</w:t>
            </w:r>
          </w:p>
        </w:tc>
        <w:tc>
          <w:tcPr>
            <w:tcW w:w="1110" w:type="dxa"/>
            <w:noWrap w:val="0"/>
            <w:vAlign w:val="center"/>
          </w:tcPr>
          <w:p>
            <w:pPr>
              <w:spacing w:line="380" w:lineRule="exact"/>
              <w:rPr>
                <w:rFonts w:ascii="宋体" w:hAnsi="宋体"/>
                <w:color w:val="auto"/>
                <w:szCs w:val="21"/>
                <w:highlight w:val="none"/>
              </w:rPr>
            </w:pPr>
          </w:p>
        </w:tc>
        <w:tc>
          <w:tcPr>
            <w:tcW w:w="975" w:type="dxa"/>
            <w:noWrap w:val="0"/>
            <w:vAlign w:val="center"/>
          </w:tcPr>
          <w:p>
            <w:pPr>
              <w:spacing w:line="380" w:lineRule="exact"/>
              <w:rPr>
                <w:rFonts w:ascii="宋体" w:hAnsi="宋体"/>
                <w:color w:val="auto"/>
                <w:szCs w:val="21"/>
                <w:highlight w:val="none"/>
              </w:rPr>
            </w:pPr>
          </w:p>
        </w:tc>
        <w:tc>
          <w:tcPr>
            <w:tcW w:w="976" w:type="dxa"/>
            <w:noWrap w:val="0"/>
            <w:vAlign w:val="center"/>
          </w:tcPr>
          <w:p>
            <w:pPr>
              <w:spacing w:line="380" w:lineRule="exact"/>
              <w:rPr>
                <w:rFonts w:ascii="宋体" w:hAnsi="宋体"/>
                <w:color w:val="auto"/>
                <w:szCs w:val="21"/>
                <w:highlight w:val="none"/>
              </w:rPr>
            </w:pPr>
          </w:p>
        </w:tc>
        <w:tc>
          <w:tcPr>
            <w:tcW w:w="932" w:type="dxa"/>
            <w:noWrap w:val="0"/>
            <w:vAlign w:val="center"/>
          </w:tcPr>
          <w:p>
            <w:pPr>
              <w:spacing w:line="380" w:lineRule="exact"/>
              <w:rPr>
                <w:rFonts w:ascii="宋体" w:hAnsi="宋体"/>
                <w:color w:val="auto"/>
                <w:szCs w:val="21"/>
                <w:highlight w:val="none"/>
              </w:rPr>
            </w:pPr>
          </w:p>
        </w:tc>
        <w:tc>
          <w:tcPr>
            <w:tcW w:w="933" w:type="dxa"/>
            <w:noWrap w:val="0"/>
            <w:vAlign w:val="center"/>
          </w:tcPr>
          <w:p>
            <w:pPr>
              <w:spacing w:line="38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trPr>
        <w:tc>
          <w:tcPr>
            <w:tcW w:w="520" w:type="dxa"/>
            <w:noWrap w:val="0"/>
            <w:vAlign w:val="center"/>
          </w:tcPr>
          <w:p>
            <w:pPr>
              <w:spacing w:line="380" w:lineRule="exact"/>
              <w:jc w:val="center"/>
              <w:rPr>
                <w:rFonts w:ascii="宋体" w:hAnsi="宋体"/>
                <w:color w:val="auto"/>
                <w:szCs w:val="21"/>
                <w:highlight w:val="none"/>
              </w:rPr>
            </w:pPr>
            <w:r>
              <w:rPr>
                <w:rFonts w:ascii="宋体" w:hAnsi="宋体"/>
                <w:color w:val="auto"/>
                <w:szCs w:val="21"/>
                <w:highlight w:val="none"/>
              </w:rPr>
              <w:t>5</w:t>
            </w:r>
          </w:p>
        </w:tc>
        <w:tc>
          <w:tcPr>
            <w:tcW w:w="3288" w:type="dxa"/>
            <w:gridSpan w:val="2"/>
            <w:noWrap w:val="0"/>
            <w:vAlign w:val="center"/>
          </w:tcPr>
          <w:p>
            <w:pPr>
              <w:spacing w:line="380" w:lineRule="exact"/>
              <w:rPr>
                <w:rFonts w:ascii="宋体" w:hAnsi="宋体"/>
                <w:color w:val="auto"/>
                <w:szCs w:val="21"/>
                <w:highlight w:val="none"/>
              </w:rPr>
            </w:pPr>
            <w:r>
              <w:rPr>
                <w:rFonts w:hint="eastAsia" w:ascii="宋体" w:hAnsi="宋体"/>
                <w:color w:val="auto"/>
                <w:szCs w:val="21"/>
                <w:highlight w:val="none"/>
              </w:rPr>
              <w:t>主机和标准附件单价</w:t>
            </w:r>
          </w:p>
        </w:tc>
        <w:tc>
          <w:tcPr>
            <w:tcW w:w="1110" w:type="dxa"/>
            <w:noWrap w:val="0"/>
            <w:vAlign w:val="center"/>
          </w:tcPr>
          <w:p>
            <w:pPr>
              <w:spacing w:line="380" w:lineRule="exact"/>
              <w:rPr>
                <w:rFonts w:ascii="宋体" w:hAnsi="宋体"/>
                <w:color w:val="auto"/>
                <w:szCs w:val="21"/>
                <w:highlight w:val="none"/>
              </w:rPr>
            </w:pPr>
          </w:p>
        </w:tc>
        <w:tc>
          <w:tcPr>
            <w:tcW w:w="975" w:type="dxa"/>
            <w:noWrap w:val="0"/>
            <w:vAlign w:val="center"/>
          </w:tcPr>
          <w:p>
            <w:pPr>
              <w:spacing w:line="380" w:lineRule="exact"/>
              <w:rPr>
                <w:rFonts w:ascii="宋体" w:hAnsi="宋体"/>
                <w:color w:val="auto"/>
                <w:szCs w:val="21"/>
                <w:highlight w:val="none"/>
              </w:rPr>
            </w:pPr>
          </w:p>
        </w:tc>
        <w:tc>
          <w:tcPr>
            <w:tcW w:w="976" w:type="dxa"/>
            <w:noWrap w:val="0"/>
            <w:vAlign w:val="center"/>
          </w:tcPr>
          <w:p>
            <w:pPr>
              <w:spacing w:line="380" w:lineRule="exact"/>
              <w:rPr>
                <w:rFonts w:ascii="宋体" w:hAnsi="宋体"/>
                <w:color w:val="auto"/>
                <w:szCs w:val="21"/>
                <w:highlight w:val="none"/>
              </w:rPr>
            </w:pPr>
          </w:p>
        </w:tc>
        <w:tc>
          <w:tcPr>
            <w:tcW w:w="932" w:type="dxa"/>
            <w:noWrap w:val="0"/>
            <w:vAlign w:val="center"/>
          </w:tcPr>
          <w:p>
            <w:pPr>
              <w:spacing w:line="380" w:lineRule="exact"/>
              <w:rPr>
                <w:rFonts w:ascii="宋体" w:hAnsi="宋体"/>
                <w:color w:val="auto"/>
                <w:szCs w:val="21"/>
                <w:highlight w:val="none"/>
              </w:rPr>
            </w:pPr>
          </w:p>
        </w:tc>
        <w:tc>
          <w:tcPr>
            <w:tcW w:w="933" w:type="dxa"/>
            <w:noWrap w:val="0"/>
            <w:vAlign w:val="center"/>
          </w:tcPr>
          <w:p>
            <w:pPr>
              <w:spacing w:line="38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trPr>
        <w:tc>
          <w:tcPr>
            <w:tcW w:w="520" w:type="dxa"/>
            <w:noWrap w:val="0"/>
            <w:vAlign w:val="center"/>
          </w:tcPr>
          <w:p>
            <w:pPr>
              <w:spacing w:line="380" w:lineRule="exact"/>
              <w:jc w:val="center"/>
              <w:rPr>
                <w:rFonts w:ascii="宋体" w:hAnsi="宋体"/>
                <w:color w:val="auto"/>
                <w:szCs w:val="21"/>
                <w:highlight w:val="none"/>
              </w:rPr>
            </w:pPr>
            <w:r>
              <w:rPr>
                <w:rFonts w:ascii="宋体" w:hAnsi="宋体"/>
                <w:color w:val="auto"/>
                <w:szCs w:val="21"/>
                <w:highlight w:val="none"/>
              </w:rPr>
              <w:t>6</w:t>
            </w:r>
          </w:p>
        </w:tc>
        <w:tc>
          <w:tcPr>
            <w:tcW w:w="3288" w:type="dxa"/>
            <w:gridSpan w:val="2"/>
            <w:noWrap w:val="0"/>
            <w:vAlign w:val="center"/>
          </w:tcPr>
          <w:p>
            <w:pPr>
              <w:spacing w:line="380" w:lineRule="exact"/>
              <w:rPr>
                <w:rFonts w:ascii="宋体" w:hAnsi="宋体"/>
                <w:color w:val="auto"/>
                <w:szCs w:val="21"/>
                <w:highlight w:val="none"/>
              </w:rPr>
            </w:pPr>
            <w:r>
              <w:rPr>
                <w:rFonts w:hint="eastAsia" w:ascii="宋体" w:hAnsi="宋体"/>
                <w:color w:val="auto"/>
                <w:szCs w:val="21"/>
                <w:highlight w:val="none"/>
              </w:rPr>
              <w:t>备品备件价</w:t>
            </w:r>
          </w:p>
        </w:tc>
        <w:tc>
          <w:tcPr>
            <w:tcW w:w="1110" w:type="dxa"/>
            <w:noWrap w:val="0"/>
            <w:vAlign w:val="center"/>
          </w:tcPr>
          <w:p>
            <w:pPr>
              <w:spacing w:line="380" w:lineRule="exact"/>
              <w:rPr>
                <w:rFonts w:ascii="宋体" w:hAnsi="宋体"/>
                <w:color w:val="auto"/>
                <w:szCs w:val="21"/>
                <w:highlight w:val="none"/>
              </w:rPr>
            </w:pPr>
          </w:p>
        </w:tc>
        <w:tc>
          <w:tcPr>
            <w:tcW w:w="975" w:type="dxa"/>
            <w:noWrap w:val="0"/>
            <w:vAlign w:val="center"/>
          </w:tcPr>
          <w:p>
            <w:pPr>
              <w:spacing w:line="380" w:lineRule="exact"/>
              <w:rPr>
                <w:rFonts w:ascii="宋体" w:hAnsi="宋体"/>
                <w:color w:val="auto"/>
                <w:szCs w:val="21"/>
                <w:highlight w:val="none"/>
              </w:rPr>
            </w:pPr>
          </w:p>
        </w:tc>
        <w:tc>
          <w:tcPr>
            <w:tcW w:w="976" w:type="dxa"/>
            <w:noWrap w:val="0"/>
            <w:vAlign w:val="center"/>
          </w:tcPr>
          <w:p>
            <w:pPr>
              <w:spacing w:line="380" w:lineRule="exact"/>
              <w:rPr>
                <w:rFonts w:ascii="宋体" w:hAnsi="宋体"/>
                <w:color w:val="auto"/>
                <w:szCs w:val="21"/>
                <w:highlight w:val="none"/>
              </w:rPr>
            </w:pPr>
          </w:p>
        </w:tc>
        <w:tc>
          <w:tcPr>
            <w:tcW w:w="932" w:type="dxa"/>
            <w:noWrap w:val="0"/>
            <w:vAlign w:val="center"/>
          </w:tcPr>
          <w:p>
            <w:pPr>
              <w:spacing w:line="380" w:lineRule="exact"/>
              <w:rPr>
                <w:rFonts w:ascii="宋体" w:hAnsi="宋体"/>
                <w:color w:val="auto"/>
                <w:szCs w:val="21"/>
                <w:highlight w:val="none"/>
              </w:rPr>
            </w:pPr>
          </w:p>
        </w:tc>
        <w:tc>
          <w:tcPr>
            <w:tcW w:w="933" w:type="dxa"/>
            <w:noWrap w:val="0"/>
            <w:vAlign w:val="center"/>
          </w:tcPr>
          <w:p>
            <w:pPr>
              <w:spacing w:line="38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trPr>
        <w:tc>
          <w:tcPr>
            <w:tcW w:w="520" w:type="dxa"/>
            <w:noWrap w:val="0"/>
            <w:vAlign w:val="center"/>
          </w:tcPr>
          <w:p>
            <w:pPr>
              <w:spacing w:line="380" w:lineRule="exact"/>
              <w:jc w:val="center"/>
              <w:rPr>
                <w:rFonts w:ascii="宋体" w:hAnsi="宋体"/>
                <w:color w:val="auto"/>
                <w:szCs w:val="21"/>
                <w:highlight w:val="none"/>
              </w:rPr>
            </w:pPr>
            <w:r>
              <w:rPr>
                <w:rFonts w:ascii="宋体" w:hAnsi="宋体"/>
                <w:color w:val="auto"/>
                <w:szCs w:val="21"/>
                <w:highlight w:val="none"/>
              </w:rPr>
              <w:t>7</w:t>
            </w:r>
          </w:p>
        </w:tc>
        <w:tc>
          <w:tcPr>
            <w:tcW w:w="3288" w:type="dxa"/>
            <w:gridSpan w:val="2"/>
            <w:noWrap w:val="0"/>
            <w:vAlign w:val="center"/>
          </w:tcPr>
          <w:p>
            <w:pPr>
              <w:spacing w:line="380" w:lineRule="exact"/>
              <w:rPr>
                <w:rFonts w:ascii="宋体" w:hAnsi="宋体"/>
                <w:color w:val="auto"/>
                <w:szCs w:val="21"/>
                <w:highlight w:val="none"/>
              </w:rPr>
            </w:pPr>
            <w:r>
              <w:rPr>
                <w:rFonts w:hint="eastAsia" w:ascii="宋体" w:hAnsi="宋体"/>
                <w:color w:val="auto"/>
                <w:szCs w:val="21"/>
                <w:highlight w:val="none"/>
              </w:rPr>
              <w:t>专用</w:t>
            </w:r>
            <w:r>
              <w:rPr>
                <w:rFonts w:hint="eastAsia" w:ascii="宋体" w:hAnsi="宋体"/>
                <w:color w:val="auto"/>
                <w:szCs w:val="21"/>
                <w:highlight w:val="none"/>
              </w:rPr>
              <w:t>工具价</w:t>
            </w:r>
          </w:p>
        </w:tc>
        <w:tc>
          <w:tcPr>
            <w:tcW w:w="1110" w:type="dxa"/>
            <w:noWrap w:val="0"/>
            <w:vAlign w:val="center"/>
          </w:tcPr>
          <w:p>
            <w:pPr>
              <w:spacing w:line="380" w:lineRule="exact"/>
              <w:rPr>
                <w:rFonts w:ascii="宋体" w:hAnsi="宋体"/>
                <w:color w:val="auto"/>
                <w:szCs w:val="21"/>
                <w:highlight w:val="none"/>
              </w:rPr>
            </w:pPr>
          </w:p>
        </w:tc>
        <w:tc>
          <w:tcPr>
            <w:tcW w:w="975" w:type="dxa"/>
            <w:noWrap w:val="0"/>
            <w:vAlign w:val="center"/>
          </w:tcPr>
          <w:p>
            <w:pPr>
              <w:spacing w:line="380" w:lineRule="exact"/>
              <w:rPr>
                <w:rFonts w:ascii="宋体" w:hAnsi="宋体"/>
                <w:color w:val="auto"/>
                <w:szCs w:val="21"/>
                <w:highlight w:val="none"/>
              </w:rPr>
            </w:pPr>
          </w:p>
        </w:tc>
        <w:tc>
          <w:tcPr>
            <w:tcW w:w="976" w:type="dxa"/>
            <w:noWrap w:val="0"/>
            <w:vAlign w:val="center"/>
          </w:tcPr>
          <w:p>
            <w:pPr>
              <w:spacing w:line="380" w:lineRule="exact"/>
              <w:rPr>
                <w:rFonts w:ascii="宋体" w:hAnsi="宋体"/>
                <w:color w:val="auto"/>
                <w:szCs w:val="21"/>
                <w:highlight w:val="none"/>
              </w:rPr>
            </w:pPr>
          </w:p>
        </w:tc>
        <w:tc>
          <w:tcPr>
            <w:tcW w:w="932" w:type="dxa"/>
            <w:noWrap w:val="0"/>
            <w:vAlign w:val="center"/>
          </w:tcPr>
          <w:p>
            <w:pPr>
              <w:spacing w:line="380" w:lineRule="exact"/>
              <w:rPr>
                <w:rFonts w:ascii="宋体" w:hAnsi="宋体"/>
                <w:color w:val="auto"/>
                <w:szCs w:val="21"/>
                <w:highlight w:val="none"/>
              </w:rPr>
            </w:pPr>
          </w:p>
        </w:tc>
        <w:tc>
          <w:tcPr>
            <w:tcW w:w="933" w:type="dxa"/>
            <w:noWrap w:val="0"/>
            <w:vAlign w:val="center"/>
          </w:tcPr>
          <w:p>
            <w:pPr>
              <w:spacing w:line="38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4" w:hRule="atLeast"/>
        </w:trPr>
        <w:tc>
          <w:tcPr>
            <w:tcW w:w="520" w:type="dxa"/>
            <w:noWrap w:val="0"/>
            <w:vAlign w:val="center"/>
          </w:tcPr>
          <w:p>
            <w:pPr>
              <w:spacing w:line="380" w:lineRule="exact"/>
              <w:jc w:val="center"/>
              <w:rPr>
                <w:rFonts w:ascii="宋体" w:hAnsi="宋体"/>
                <w:color w:val="auto"/>
                <w:szCs w:val="21"/>
                <w:highlight w:val="none"/>
              </w:rPr>
            </w:pPr>
            <w:r>
              <w:rPr>
                <w:rFonts w:ascii="宋体" w:hAnsi="宋体"/>
                <w:color w:val="auto"/>
                <w:szCs w:val="21"/>
                <w:highlight w:val="none"/>
              </w:rPr>
              <w:t>8</w:t>
            </w:r>
          </w:p>
        </w:tc>
        <w:tc>
          <w:tcPr>
            <w:tcW w:w="3288" w:type="dxa"/>
            <w:gridSpan w:val="2"/>
            <w:noWrap w:val="0"/>
            <w:vAlign w:val="center"/>
          </w:tcPr>
          <w:p>
            <w:pPr>
              <w:spacing w:line="380" w:lineRule="exact"/>
              <w:rPr>
                <w:rFonts w:ascii="宋体" w:hAnsi="宋体"/>
                <w:color w:val="auto"/>
                <w:szCs w:val="21"/>
                <w:highlight w:val="none"/>
              </w:rPr>
            </w:pPr>
            <w:r>
              <w:rPr>
                <w:rFonts w:hint="eastAsia" w:ascii="宋体" w:hAnsi="宋体"/>
                <w:color w:val="auto"/>
                <w:szCs w:val="21"/>
                <w:highlight w:val="none"/>
              </w:rPr>
              <w:t>技术服务费</w:t>
            </w:r>
          </w:p>
        </w:tc>
        <w:tc>
          <w:tcPr>
            <w:tcW w:w="1110" w:type="dxa"/>
            <w:noWrap w:val="0"/>
            <w:vAlign w:val="center"/>
          </w:tcPr>
          <w:p>
            <w:pPr>
              <w:spacing w:line="380" w:lineRule="exact"/>
              <w:rPr>
                <w:rFonts w:ascii="宋体" w:hAnsi="宋体"/>
                <w:color w:val="auto"/>
                <w:szCs w:val="21"/>
                <w:highlight w:val="none"/>
              </w:rPr>
            </w:pPr>
          </w:p>
        </w:tc>
        <w:tc>
          <w:tcPr>
            <w:tcW w:w="975" w:type="dxa"/>
            <w:noWrap w:val="0"/>
            <w:vAlign w:val="center"/>
          </w:tcPr>
          <w:p>
            <w:pPr>
              <w:spacing w:line="380" w:lineRule="exact"/>
              <w:rPr>
                <w:rFonts w:ascii="宋体" w:hAnsi="宋体"/>
                <w:color w:val="auto"/>
                <w:szCs w:val="21"/>
                <w:highlight w:val="none"/>
              </w:rPr>
            </w:pPr>
          </w:p>
        </w:tc>
        <w:tc>
          <w:tcPr>
            <w:tcW w:w="976" w:type="dxa"/>
            <w:noWrap w:val="0"/>
            <w:vAlign w:val="center"/>
          </w:tcPr>
          <w:p>
            <w:pPr>
              <w:spacing w:line="380" w:lineRule="exact"/>
              <w:rPr>
                <w:rFonts w:ascii="宋体" w:hAnsi="宋体"/>
                <w:color w:val="auto"/>
                <w:szCs w:val="21"/>
                <w:highlight w:val="none"/>
              </w:rPr>
            </w:pPr>
          </w:p>
        </w:tc>
        <w:tc>
          <w:tcPr>
            <w:tcW w:w="932" w:type="dxa"/>
            <w:noWrap w:val="0"/>
            <w:vAlign w:val="center"/>
          </w:tcPr>
          <w:p>
            <w:pPr>
              <w:spacing w:line="380" w:lineRule="exact"/>
              <w:rPr>
                <w:rFonts w:ascii="宋体" w:hAnsi="宋体"/>
                <w:color w:val="auto"/>
                <w:szCs w:val="21"/>
                <w:highlight w:val="none"/>
              </w:rPr>
            </w:pPr>
          </w:p>
        </w:tc>
        <w:tc>
          <w:tcPr>
            <w:tcW w:w="933" w:type="dxa"/>
            <w:noWrap w:val="0"/>
            <w:vAlign w:val="center"/>
          </w:tcPr>
          <w:p>
            <w:pPr>
              <w:spacing w:line="38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trPr>
        <w:tc>
          <w:tcPr>
            <w:tcW w:w="520" w:type="dxa"/>
            <w:noWrap w:val="0"/>
            <w:vAlign w:val="center"/>
          </w:tcPr>
          <w:p>
            <w:pPr>
              <w:spacing w:line="380" w:lineRule="exact"/>
              <w:jc w:val="center"/>
              <w:rPr>
                <w:rFonts w:ascii="宋体" w:hAnsi="宋体"/>
                <w:color w:val="auto"/>
                <w:szCs w:val="21"/>
                <w:highlight w:val="none"/>
              </w:rPr>
            </w:pPr>
            <w:r>
              <w:rPr>
                <w:rFonts w:ascii="宋体" w:hAnsi="宋体"/>
                <w:color w:val="auto"/>
                <w:szCs w:val="21"/>
                <w:highlight w:val="none"/>
              </w:rPr>
              <w:t>9</w:t>
            </w:r>
          </w:p>
        </w:tc>
        <w:tc>
          <w:tcPr>
            <w:tcW w:w="3288" w:type="dxa"/>
            <w:gridSpan w:val="2"/>
            <w:noWrap w:val="0"/>
            <w:vAlign w:val="center"/>
          </w:tcPr>
          <w:p>
            <w:pPr>
              <w:spacing w:line="380" w:lineRule="exact"/>
              <w:rPr>
                <w:rFonts w:ascii="宋体" w:hAnsi="宋体"/>
                <w:color w:val="auto"/>
                <w:szCs w:val="21"/>
                <w:highlight w:val="none"/>
              </w:rPr>
            </w:pPr>
            <w:r>
              <w:rPr>
                <w:rFonts w:hint="eastAsia" w:ascii="宋体" w:hAnsi="宋体"/>
                <w:color w:val="auto"/>
                <w:szCs w:val="21"/>
                <w:highlight w:val="none"/>
              </w:rPr>
              <w:t>安装调试费</w:t>
            </w:r>
          </w:p>
        </w:tc>
        <w:tc>
          <w:tcPr>
            <w:tcW w:w="1110" w:type="dxa"/>
            <w:noWrap w:val="0"/>
            <w:vAlign w:val="center"/>
          </w:tcPr>
          <w:p>
            <w:pPr>
              <w:spacing w:line="380" w:lineRule="exact"/>
              <w:rPr>
                <w:rFonts w:ascii="宋体" w:hAnsi="宋体"/>
                <w:color w:val="auto"/>
                <w:szCs w:val="21"/>
                <w:highlight w:val="none"/>
              </w:rPr>
            </w:pPr>
          </w:p>
        </w:tc>
        <w:tc>
          <w:tcPr>
            <w:tcW w:w="975" w:type="dxa"/>
            <w:noWrap w:val="0"/>
            <w:vAlign w:val="center"/>
          </w:tcPr>
          <w:p>
            <w:pPr>
              <w:spacing w:line="380" w:lineRule="exact"/>
              <w:rPr>
                <w:rFonts w:ascii="宋体" w:hAnsi="宋体"/>
                <w:color w:val="auto"/>
                <w:szCs w:val="21"/>
                <w:highlight w:val="none"/>
              </w:rPr>
            </w:pPr>
          </w:p>
        </w:tc>
        <w:tc>
          <w:tcPr>
            <w:tcW w:w="976" w:type="dxa"/>
            <w:noWrap w:val="0"/>
            <w:vAlign w:val="center"/>
          </w:tcPr>
          <w:p>
            <w:pPr>
              <w:spacing w:line="380" w:lineRule="exact"/>
              <w:rPr>
                <w:rFonts w:ascii="宋体" w:hAnsi="宋体"/>
                <w:color w:val="auto"/>
                <w:szCs w:val="21"/>
                <w:highlight w:val="none"/>
              </w:rPr>
            </w:pPr>
          </w:p>
        </w:tc>
        <w:tc>
          <w:tcPr>
            <w:tcW w:w="932" w:type="dxa"/>
            <w:noWrap w:val="0"/>
            <w:vAlign w:val="center"/>
          </w:tcPr>
          <w:p>
            <w:pPr>
              <w:spacing w:line="380" w:lineRule="exact"/>
              <w:rPr>
                <w:rFonts w:ascii="宋体" w:hAnsi="宋体"/>
                <w:color w:val="auto"/>
                <w:szCs w:val="21"/>
                <w:highlight w:val="none"/>
              </w:rPr>
            </w:pPr>
          </w:p>
        </w:tc>
        <w:tc>
          <w:tcPr>
            <w:tcW w:w="933" w:type="dxa"/>
            <w:noWrap w:val="0"/>
            <w:vAlign w:val="center"/>
          </w:tcPr>
          <w:p>
            <w:pPr>
              <w:spacing w:line="38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trPr>
        <w:tc>
          <w:tcPr>
            <w:tcW w:w="520" w:type="dxa"/>
            <w:noWrap w:val="0"/>
            <w:vAlign w:val="center"/>
          </w:tcPr>
          <w:p>
            <w:pPr>
              <w:spacing w:line="380" w:lineRule="exact"/>
              <w:jc w:val="center"/>
              <w:rPr>
                <w:rFonts w:ascii="宋体" w:hAnsi="宋体"/>
                <w:color w:val="auto"/>
                <w:szCs w:val="21"/>
                <w:highlight w:val="none"/>
              </w:rPr>
            </w:pPr>
            <w:r>
              <w:rPr>
                <w:rFonts w:ascii="宋体" w:hAnsi="宋体"/>
                <w:color w:val="auto"/>
                <w:szCs w:val="21"/>
                <w:highlight w:val="none"/>
              </w:rPr>
              <w:t>10</w:t>
            </w:r>
          </w:p>
        </w:tc>
        <w:tc>
          <w:tcPr>
            <w:tcW w:w="3288" w:type="dxa"/>
            <w:gridSpan w:val="2"/>
            <w:noWrap w:val="0"/>
            <w:vAlign w:val="center"/>
          </w:tcPr>
          <w:p>
            <w:pPr>
              <w:spacing w:line="380" w:lineRule="exact"/>
              <w:rPr>
                <w:rFonts w:ascii="宋体" w:hAnsi="宋体"/>
                <w:color w:val="auto"/>
                <w:szCs w:val="21"/>
                <w:highlight w:val="none"/>
              </w:rPr>
            </w:pPr>
            <w:r>
              <w:rPr>
                <w:rFonts w:hint="eastAsia" w:ascii="宋体" w:hAnsi="宋体"/>
                <w:color w:val="auto"/>
                <w:szCs w:val="21"/>
                <w:highlight w:val="none"/>
              </w:rPr>
              <w:t>检验培训费</w:t>
            </w:r>
          </w:p>
        </w:tc>
        <w:tc>
          <w:tcPr>
            <w:tcW w:w="1110" w:type="dxa"/>
            <w:noWrap w:val="0"/>
            <w:vAlign w:val="center"/>
          </w:tcPr>
          <w:p>
            <w:pPr>
              <w:spacing w:line="380" w:lineRule="exact"/>
              <w:rPr>
                <w:rFonts w:ascii="宋体" w:hAnsi="宋体"/>
                <w:color w:val="auto"/>
                <w:szCs w:val="21"/>
                <w:highlight w:val="none"/>
              </w:rPr>
            </w:pPr>
          </w:p>
        </w:tc>
        <w:tc>
          <w:tcPr>
            <w:tcW w:w="975" w:type="dxa"/>
            <w:noWrap w:val="0"/>
            <w:vAlign w:val="center"/>
          </w:tcPr>
          <w:p>
            <w:pPr>
              <w:spacing w:line="380" w:lineRule="exact"/>
              <w:rPr>
                <w:rFonts w:ascii="宋体" w:hAnsi="宋体"/>
                <w:color w:val="auto"/>
                <w:szCs w:val="21"/>
                <w:highlight w:val="none"/>
              </w:rPr>
            </w:pPr>
          </w:p>
        </w:tc>
        <w:tc>
          <w:tcPr>
            <w:tcW w:w="976" w:type="dxa"/>
            <w:noWrap w:val="0"/>
            <w:vAlign w:val="center"/>
          </w:tcPr>
          <w:p>
            <w:pPr>
              <w:spacing w:line="380" w:lineRule="exact"/>
              <w:rPr>
                <w:rFonts w:ascii="宋体" w:hAnsi="宋体"/>
                <w:color w:val="auto"/>
                <w:szCs w:val="21"/>
                <w:highlight w:val="none"/>
              </w:rPr>
            </w:pPr>
          </w:p>
        </w:tc>
        <w:tc>
          <w:tcPr>
            <w:tcW w:w="932" w:type="dxa"/>
            <w:noWrap w:val="0"/>
            <w:vAlign w:val="center"/>
          </w:tcPr>
          <w:p>
            <w:pPr>
              <w:spacing w:line="380" w:lineRule="exact"/>
              <w:rPr>
                <w:rFonts w:ascii="宋体" w:hAnsi="宋体"/>
                <w:color w:val="auto"/>
                <w:szCs w:val="21"/>
                <w:highlight w:val="none"/>
              </w:rPr>
            </w:pPr>
          </w:p>
        </w:tc>
        <w:tc>
          <w:tcPr>
            <w:tcW w:w="933" w:type="dxa"/>
            <w:noWrap w:val="0"/>
            <w:vAlign w:val="center"/>
          </w:tcPr>
          <w:p>
            <w:pPr>
              <w:spacing w:line="38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trPr>
        <w:tc>
          <w:tcPr>
            <w:tcW w:w="520" w:type="dxa"/>
            <w:noWrap w:val="0"/>
            <w:vAlign w:val="center"/>
          </w:tcPr>
          <w:p>
            <w:pPr>
              <w:spacing w:line="380" w:lineRule="exact"/>
              <w:jc w:val="center"/>
              <w:rPr>
                <w:rFonts w:ascii="宋体" w:hAnsi="宋体"/>
                <w:color w:val="auto"/>
                <w:szCs w:val="21"/>
                <w:highlight w:val="none"/>
              </w:rPr>
            </w:pPr>
            <w:r>
              <w:rPr>
                <w:rFonts w:ascii="宋体" w:hAnsi="宋体"/>
                <w:color w:val="auto"/>
                <w:szCs w:val="21"/>
                <w:highlight w:val="none"/>
              </w:rPr>
              <w:t>11</w:t>
            </w:r>
          </w:p>
        </w:tc>
        <w:tc>
          <w:tcPr>
            <w:tcW w:w="3288" w:type="dxa"/>
            <w:gridSpan w:val="2"/>
            <w:noWrap w:val="0"/>
            <w:vAlign w:val="center"/>
          </w:tcPr>
          <w:p>
            <w:pPr>
              <w:spacing w:line="380" w:lineRule="exact"/>
              <w:rPr>
                <w:rFonts w:ascii="宋体" w:hAnsi="宋体"/>
                <w:color w:val="auto"/>
                <w:szCs w:val="21"/>
                <w:highlight w:val="none"/>
              </w:rPr>
            </w:pPr>
            <w:r>
              <w:rPr>
                <w:rFonts w:hint="eastAsia" w:ascii="宋体" w:hAnsi="宋体"/>
                <w:color w:val="auto"/>
                <w:szCs w:val="21"/>
                <w:highlight w:val="none"/>
              </w:rPr>
              <w:t>运输费用</w:t>
            </w:r>
          </w:p>
        </w:tc>
        <w:tc>
          <w:tcPr>
            <w:tcW w:w="1110" w:type="dxa"/>
            <w:noWrap w:val="0"/>
            <w:vAlign w:val="center"/>
          </w:tcPr>
          <w:p>
            <w:pPr>
              <w:spacing w:line="380" w:lineRule="exact"/>
              <w:rPr>
                <w:rFonts w:ascii="宋体" w:hAnsi="宋体"/>
                <w:color w:val="auto"/>
                <w:szCs w:val="21"/>
                <w:highlight w:val="none"/>
              </w:rPr>
            </w:pPr>
          </w:p>
        </w:tc>
        <w:tc>
          <w:tcPr>
            <w:tcW w:w="975" w:type="dxa"/>
            <w:noWrap w:val="0"/>
            <w:vAlign w:val="center"/>
          </w:tcPr>
          <w:p>
            <w:pPr>
              <w:spacing w:line="380" w:lineRule="exact"/>
              <w:rPr>
                <w:rFonts w:ascii="宋体" w:hAnsi="宋体"/>
                <w:color w:val="auto"/>
                <w:szCs w:val="21"/>
                <w:highlight w:val="none"/>
              </w:rPr>
            </w:pPr>
          </w:p>
        </w:tc>
        <w:tc>
          <w:tcPr>
            <w:tcW w:w="976" w:type="dxa"/>
            <w:noWrap w:val="0"/>
            <w:vAlign w:val="center"/>
          </w:tcPr>
          <w:p>
            <w:pPr>
              <w:spacing w:line="380" w:lineRule="exact"/>
              <w:rPr>
                <w:rFonts w:ascii="宋体" w:hAnsi="宋体"/>
                <w:color w:val="auto"/>
                <w:szCs w:val="21"/>
                <w:highlight w:val="none"/>
              </w:rPr>
            </w:pPr>
          </w:p>
        </w:tc>
        <w:tc>
          <w:tcPr>
            <w:tcW w:w="932" w:type="dxa"/>
            <w:noWrap w:val="0"/>
            <w:vAlign w:val="center"/>
          </w:tcPr>
          <w:p>
            <w:pPr>
              <w:spacing w:line="380" w:lineRule="exact"/>
              <w:rPr>
                <w:rFonts w:ascii="宋体" w:hAnsi="宋体"/>
                <w:color w:val="auto"/>
                <w:szCs w:val="21"/>
                <w:highlight w:val="none"/>
              </w:rPr>
            </w:pPr>
          </w:p>
        </w:tc>
        <w:tc>
          <w:tcPr>
            <w:tcW w:w="933" w:type="dxa"/>
            <w:noWrap w:val="0"/>
            <w:vAlign w:val="center"/>
          </w:tcPr>
          <w:p>
            <w:pPr>
              <w:spacing w:line="38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trPr>
        <w:tc>
          <w:tcPr>
            <w:tcW w:w="520" w:type="dxa"/>
            <w:noWrap w:val="0"/>
            <w:vAlign w:val="center"/>
          </w:tcPr>
          <w:p>
            <w:pPr>
              <w:spacing w:line="380" w:lineRule="exact"/>
              <w:jc w:val="center"/>
              <w:rPr>
                <w:rFonts w:ascii="宋体" w:hAnsi="宋体"/>
                <w:color w:val="auto"/>
                <w:szCs w:val="21"/>
                <w:highlight w:val="none"/>
              </w:rPr>
            </w:pPr>
            <w:r>
              <w:rPr>
                <w:rFonts w:ascii="宋体" w:hAnsi="宋体"/>
                <w:color w:val="auto"/>
                <w:szCs w:val="21"/>
                <w:highlight w:val="none"/>
              </w:rPr>
              <w:t>12</w:t>
            </w:r>
          </w:p>
        </w:tc>
        <w:tc>
          <w:tcPr>
            <w:tcW w:w="3288" w:type="dxa"/>
            <w:gridSpan w:val="2"/>
            <w:noWrap w:val="0"/>
            <w:vAlign w:val="center"/>
          </w:tcPr>
          <w:p>
            <w:pPr>
              <w:spacing w:line="380" w:lineRule="exact"/>
              <w:rPr>
                <w:rFonts w:ascii="宋体" w:hAnsi="宋体"/>
                <w:color w:val="auto"/>
                <w:szCs w:val="21"/>
                <w:highlight w:val="none"/>
              </w:rPr>
            </w:pPr>
            <w:r>
              <w:rPr>
                <w:rFonts w:hint="eastAsia" w:ascii="宋体" w:hAnsi="宋体"/>
                <w:color w:val="auto"/>
                <w:szCs w:val="21"/>
                <w:highlight w:val="none"/>
              </w:rPr>
              <w:t>保险费用</w:t>
            </w:r>
          </w:p>
        </w:tc>
        <w:tc>
          <w:tcPr>
            <w:tcW w:w="1110" w:type="dxa"/>
            <w:noWrap w:val="0"/>
            <w:vAlign w:val="center"/>
          </w:tcPr>
          <w:p>
            <w:pPr>
              <w:spacing w:line="380" w:lineRule="exact"/>
              <w:rPr>
                <w:rFonts w:ascii="宋体" w:hAnsi="宋体"/>
                <w:color w:val="auto"/>
                <w:szCs w:val="21"/>
                <w:highlight w:val="none"/>
              </w:rPr>
            </w:pPr>
          </w:p>
        </w:tc>
        <w:tc>
          <w:tcPr>
            <w:tcW w:w="975" w:type="dxa"/>
            <w:noWrap w:val="0"/>
            <w:vAlign w:val="center"/>
          </w:tcPr>
          <w:p>
            <w:pPr>
              <w:spacing w:line="380" w:lineRule="exact"/>
              <w:rPr>
                <w:rFonts w:ascii="宋体" w:hAnsi="宋体"/>
                <w:color w:val="auto"/>
                <w:szCs w:val="21"/>
                <w:highlight w:val="none"/>
              </w:rPr>
            </w:pPr>
          </w:p>
        </w:tc>
        <w:tc>
          <w:tcPr>
            <w:tcW w:w="976" w:type="dxa"/>
            <w:noWrap w:val="0"/>
            <w:vAlign w:val="center"/>
          </w:tcPr>
          <w:p>
            <w:pPr>
              <w:spacing w:line="380" w:lineRule="exact"/>
              <w:rPr>
                <w:rFonts w:ascii="宋体" w:hAnsi="宋体"/>
                <w:color w:val="auto"/>
                <w:szCs w:val="21"/>
                <w:highlight w:val="none"/>
              </w:rPr>
            </w:pPr>
          </w:p>
        </w:tc>
        <w:tc>
          <w:tcPr>
            <w:tcW w:w="932" w:type="dxa"/>
            <w:noWrap w:val="0"/>
            <w:vAlign w:val="center"/>
          </w:tcPr>
          <w:p>
            <w:pPr>
              <w:spacing w:line="380" w:lineRule="exact"/>
              <w:rPr>
                <w:rFonts w:ascii="宋体" w:hAnsi="宋体"/>
                <w:color w:val="auto"/>
                <w:szCs w:val="21"/>
                <w:highlight w:val="none"/>
              </w:rPr>
            </w:pPr>
          </w:p>
        </w:tc>
        <w:tc>
          <w:tcPr>
            <w:tcW w:w="933" w:type="dxa"/>
            <w:noWrap w:val="0"/>
            <w:vAlign w:val="center"/>
          </w:tcPr>
          <w:p>
            <w:pPr>
              <w:spacing w:line="38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trPr>
        <w:tc>
          <w:tcPr>
            <w:tcW w:w="520" w:type="dxa"/>
            <w:vMerge w:val="restart"/>
            <w:noWrap w:val="0"/>
            <w:vAlign w:val="center"/>
          </w:tcPr>
          <w:p>
            <w:pPr>
              <w:spacing w:line="380" w:lineRule="exact"/>
              <w:jc w:val="center"/>
              <w:rPr>
                <w:rFonts w:hint="eastAsia" w:ascii="宋体" w:hAnsi="宋体"/>
                <w:color w:val="auto"/>
                <w:szCs w:val="21"/>
                <w:highlight w:val="none"/>
              </w:rPr>
            </w:pPr>
            <w:r>
              <w:rPr>
                <w:rFonts w:ascii="宋体" w:hAnsi="宋体"/>
                <w:color w:val="auto"/>
                <w:szCs w:val="21"/>
                <w:highlight w:val="none"/>
              </w:rPr>
              <w:t>13</w:t>
            </w:r>
          </w:p>
        </w:tc>
        <w:tc>
          <w:tcPr>
            <w:tcW w:w="1108" w:type="dxa"/>
            <w:vMerge w:val="restart"/>
            <w:noWrap w:val="0"/>
            <w:vAlign w:val="center"/>
          </w:tcPr>
          <w:p>
            <w:pPr>
              <w:spacing w:line="380" w:lineRule="exact"/>
              <w:rPr>
                <w:rFonts w:ascii="宋体" w:hAnsi="宋体"/>
                <w:color w:val="auto"/>
                <w:szCs w:val="21"/>
                <w:highlight w:val="none"/>
              </w:rPr>
            </w:pPr>
            <w:r>
              <w:rPr>
                <w:rFonts w:hint="eastAsia" w:ascii="宋体" w:hAnsi="宋体"/>
                <w:color w:val="auto"/>
                <w:szCs w:val="21"/>
                <w:highlight w:val="none"/>
              </w:rPr>
              <w:t>投标价格</w:t>
            </w:r>
          </w:p>
        </w:tc>
        <w:tc>
          <w:tcPr>
            <w:tcW w:w="2180" w:type="dxa"/>
            <w:noWrap w:val="0"/>
            <w:vAlign w:val="center"/>
          </w:tcPr>
          <w:p>
            <w:pPr>
              <w:spacing w:line="380" w:lineRule="exact"/>
              <w:rPr>
                <w:rFonts w:hint="eastAsia" w:ascii="宋体" w:hAnsi="宋体"/>
                <w:color w:val="auto"/>
                <w:szCs w:val="21"/>
                <w:highlight w:val="none"/>
              </w:rPr>
            </w:pPr>
            <w:r>
              <w:rPr>
                <w:rFonts w:hint="eastAsia" w:ascii="宋体" w:hAnsi="宋体"/>
                <w:color w:val="auto"/>
                <w:szCs w:val="21"/>
                <w:highlight w:val="none"/>
              </w:rPr>
              <w:t>出厂价</w:t>
            </w:r>
          </w:p>
        </w:tc>
        <w:tc>
          <w:tcPr>
            <w:tcW w:w="1110" w:type="dxa"/>
            <w:noWrap w:val="0"/>
            <w:vAlign w:val="center"/>
          </w:tcPr>
          <w:p>
            <w:pPr>
              <w:spacing w:line="380" w:lineRule="exact"/>
              <w:rPr>
                <w:rFonts w:ascii="宋体" w:hAnsi="宋体"/>
                <w:color w:val="auto"/>
                <w:szCs w:val="21"/>
                <w:highlight w:val="none"/>
              </w:rPr>
            </w:pPr>
          </w:p>
        </w:tc>
        <w:tc>
          <w:tcPr>
            <w:tcW w:w="975" w:type="dxa"/>
            <w:noWrap w:val="0"/>
            <w:vAlign w:val="center"/>
          </w:tcPr>
          <w:p>
            <w:pPr>
              <w:spacing w:line="380" w:lineRule="exact"/>
              <w:rPr>
                <w:rFonts w:ascii="宋体" w:hAnsi="宋体"/>
                <w:color w:val="auto"/>
                <w:szCs w:val="21"/>
                <w:highlight w:val="none"/>
              </w:rPr>
            </w:pPr>
          </w:p>
        </w:tc>
        <w:tc>
          <w:tcPr>
            <w:tcW w:w="976" w:type="dxa"/>
            <w:noWrap w:val="0"/>
            <w:vAlign w:val="center"/>
          </w:tcPr>
          <w:p>
            <w:pPr>
              <w:spacing w:line="380" w:lineRule="exact"/>
              <w:rPr>
                <w:rFonts w:ascii="宋体" w:hAnsi="宋体"/>
                <w:color w:val="auto"/>
                <w:szCs w:val="21"/>
                <w:highlight w:val="none"/>
              </w:rPr>
            </w:pPr>
          </w:p>
        </w:tc>
        <w:tc>
          <w:tcPr>
            <w:tcW w:w="932" w:type="dxa"/>
            <w:noWrap w:val="0"/>
            <w:vAlign w:val="center"/>
          </w:tcPr>
          <w:p>
            <w:pPr>
              <w:spacing w:line="380" w:lineRule="exact"/>
              <w:rPr>
                <w:rFonts w:ascii="宋体" w:hAnsi="宋体"/>
                <w:color w:val="auto"/>
                <w:szCs w:val="21"/>
                <w:highlight w:val="none"/>
              </w:rPr>
            </w:pPr>
          </w:p>
        </w:tc>
        <w:tc>
          <w:tcPr>
            <w:tcW w:w="933" w:type="dxa"/>
            <w:noWrap w:val="0"/>
            <w:vAlign w:val="center"/>
          </w:tcPr>
          <w:p>
            <w:pPr>
              <w:spacing w:line="38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trPr>
        <w:tc>
          <w:tcPr>
            <w:tcW w:w="520" w:type="dxa"/>
            <w:vMerge w:val="continue"/>
            <w:noWrap w:val="0"/>
            <w:vAlign w:val="center"/>
          </w:tcPr>
          <w:p>
            <w:pPr>
              <w:spacing w:line="380" w:lineRule="exact"/>
              <w:jc w:val="center"/>
              <w:rPr>
                <w:rFonts w:ascii="宋体" w:hAnsi="宋体"/>
                <w:color w:val="auto"/>
                <w:szCs w:val="21"/>
                <w:highlight w:val="none"/>
              </w:rPr>
            </w:pPr>
          </w:p>
        </w:tc>
        <w:tc>
          <w:tcPr>
            <w:tcW w:w="1108" w:type="dxa"/>
            <w:vMerge w:val="continue"/>
            <w:noWrap w:val="0"/>
            <w:vAlign w:val="center"/>
          </w:tcPr>
          <w:p>
            <w:pPr>
              <w:spacing w:line="380" w:lineRule="exact"/>
              <w:rPr>
                <w:rFonts w:ascii="宋体" w:hAnsi="宋体"/>
                <w:color w:val="auto"/>
                <w:szCs w:val="21"/>
                <w:highlight w:val="none"/>
              </w:rPr>
            </w:pPr>
          </w:p>
        </w:tc>
        <w:tc>
          <w:tcPr>
            <w:tcW w:w="2180" w:type="dxa"/>
            <w:noWrap w:val="0"/>
            <w:vAlign w:val="center"/>
          </w:tcPr>
          <w:p>
            <w:pPr>
              <w:spacing w:line="380" w:lineRule="exact"/>
              <w:rPr>
                <w:rFonts w:hint="eastAsia" w:ascii="宋体" w:hAnsi="宋体"/>
                <w:color w:val="auto"/>
                <w:szCs w:val="21"/>
                <w:highlight w:val="none"/>
              </w:rPr>
            </w:pPr>
            <w:r>
              <w:rPr>
                <w:rFonts w:hint="eastAsia" w:ascii="宋体" w:hAnsi="宋体"/>
                <w:color w:val="auto"/>
                <w:szCs w:val="21"/>
                <w:highlight w:val="none"/>
              </w:rPr>
              <w:t>现场交货价</w:t>
            </w:r>
          </w:p>
        </w:tc>
        <w:tc>
          <w:tcPr>
            <w:tcW w:w="1110" w:type="dxa"/>
            <w:noWrap w:val="0"/>
            <w:vAlign w:val="center"/>
          </w:tcPr>
          <w:p>
            <w:pPr>
              <w:spacing w:line="380" w:lineRule="exact"/>
              <w:rPr>
                <w:rFonts w:ascii="宋体" w:hAnsi="宋体"/>
                <w:color w:val="auto"/>
                <w:szCs w:val="21"/>
                <w:highlight w:val="none"/>
              </w:rPr>
            </w:pPr>
          </w:p>
        </w:tc>
        <w:tc>
          <w:tcPr>
            <w:tcW w:w="975" w:type="dxa"/>
            <w:noWrap w:val="0"/>
            <w:vAlign w:val="center"/>
          </w:tcPr>
          <w:p>
            <w:pPr>
              <w:spacing w:line="380" w:lineRule="exact"/>
              <w:rPr>
                <w:rFonts w:ascii="宋体" w:hAnsi="宋体"/>
                <w:color w:val="auto"/>
                <w:szCs w:val="21"/>
                <w:highlight w:val="none"/>
              </w:rPr>
            </w:pPr>
          </w:p>
        </w:tc>
        <w:tc>
          <w:tcPr>
            <w:tcW w:w="976" w:type="dxa"/>
            <w:noWrap w:val="0"/>
            <w:vAlign w:val="center"/>
          </w:tcPr>
          <w:p>
            <w:pPr>
              <w:spacing w:line="380" w:lineRule="exact"/>
              <w:rPr>
                <w:rFonts w:ascii="宋体" w:hAnsi="宋体"/>
                <w:color w:val="auto"/>
                <w:szCs w:val="21"/>
                <w:highlight w:val="none"/>
              </w:rPr>
            </w:pPr>
          </w:p>
        </w:tc>
        <w:tc>
          <w:tcPr>
            <w:tcW w:w="932" w:type="dxa"/>
            <w:noWrap w:val="0"/>
            <w:vAlign w:val="center"/>
          </w:tcPr>
          <w:p>
            <w:pPr>
              <w:spacing w:line="380" w:lineRule="exact"/>
              <w:rPr>
                <w:rFonts w:ascii="宋体" w:hAnsi="宋体"/>
                <w:color w:val="auto"/>
                <w:szCs w:val="21"/>
                <w:highlight w:val="none"/>
              </w:rPr>
            </w:pPr>
          </w:p>
        </w:tc>
        <w:tc>
          <w:tcPr>
            <w:tcW w:w="933" w:type="dxa"/>
            <w:noWrap w:val="0"/>
            <w:vAlign w:val="center"/>
          </w:tcPr>
          <w:p>
            <w:pPr>
              <w:spacing w:line="38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trPr>
        <w:tc>
          <w:tcPr>
            <w:tcW w:w="520" w:type="dxa"/>
            <w:noWrap w:val="0"/>
            <w:vAlign w:val="center"/>
          </w:tcPr>
          <w:p>
            <w:pPr>
              <w:spacing w:line="380" w:lineRule="exact"/>
              <w:jc w:val="center"/>
              <w:rPr>
                <w:rFonts w:hint="eastAsia" w:ascii="宋体" w:hAnsi="宋体"/>
                <w:color w:val="auto"/>
                <w:szCs w:val="21"/>
                <w:highlight w:val="none"/>
              </w:rPr>
            </w:pPr>
            <w:r>
              <w:rPr>
                <w:rFonts w:hint="eastAsia" w:ascii="宋体" w:hAnsi="宋体"/>
                <w:color w:val="auto"/>
                <w:szCs w:val="21"/>
                <w:highlight w:val="none"/>
              </w:rPr>
              <w:t>14</w:t>
            </w:r>
          </w:p>
        </w:tc>
        <w:tc>
          <w:tcPr>
            <w:tcW w:w="3288" w:type="dxa"/>
            <w:gridSpan w:val="2"/>
            <w:noWrap w:val="0"/>
            <w:vAlign w:val="center"/>
          </w:tcPr>
          <w:p>
            <w:pPr>
              <w:spacing w:line="380" w:lineRule="exact"/>
              <w:rPr>
                <w:rFonts w:hint="eastAsia" w:ascii="宋体" w:hAnsi="宋体"/>
                <w:color w:val="auto"/>
                <w:szCs w:val="21"/>
                <w:highlight w:val="none"/>
              </w:rPr>
            </w:pPr>
            <w:r>
              <w:rPr>
                <w:rFonts w:hint="eastAsia" w:ascii="宋体" w:hAnsi="宋体"/>
                <w:color w:val="auto"/>
                <w:szCs w:val="21"/>
                <w:highlight w:val="none"/>
              </w:rPr>
              <w:t>投标总价</w:t>
            </w:r>
          </w:p>
        </w:tc>
        <w:tc>
          <w:tcPr>
            <w:tcW w:w="1110" w:type="dxa"/>
            <w:noWrap w:val="0"/>
            <w:vAlign w:val="center"/>
          </w:tcPr>
          <w:p>
            <w:pPr>
              <w:spacing w:line="380" w:lineRule="exact"/>
              <w:rPr>
                <w:rFonts w:ascii="宋体" w:hAnsi="宋体"/>
                <w:color w:val="auto"/>
                <w:szCs w:val="21"/>
                <w:highlight w:val="none"/>
              </w:rPr>
            </w:pPr>
          </w:p>
        </w:tc>
        <w:tc>
          <w:tcPr>
            <w:tcW w:w="975" w:type="dxa"/>
            <w:noWrap w:val="0"/>
            <w:vAlign w:val="center"/>
          </w:tcPr>
          <w:p>
            <w:pPr>
              <w:spacing w:line="380" w:lineRule="exact"/>
              <w:rPr>
                <w:rFonts w:ascii="宋体" w:hAnsi="宋体"/>
                <w:color w:val="auto"/>
                <w:szCs w:val="21"/>
                <w:highlight w:val="none"/>
              </w:rPr>
            </w:pPr>
          </w:p>
        </w:tc>
        <w:tc>
          <w:tcPr>
            <w:tcW w:w="976" w:type="dxa"/>
            <w:noWrap w:val="0"/>
            <w:vAlign w:val="center"/>
          </w:tcPr>
          <w:p>
            <w:pPr>
              <w:spacing w:line="380" w:lineRule="exact"/>
              <w:rPr>
                <w:rFonts w:ascii="宋体" w:hAnsi="宋体"/>
                <w:color w:val="auto"/>
                <w:szCs w:val="21"/>
                <w:highlight w:val="none"/>
              </w:rPr>
            </w:pPr>
          </w:p>
        </w:tc>
        <w:tc>
          <w:tcPr>
            <w:tcW w:w="932" w:type="dxa"/>
            <w:noWrap w:val="0"/>
            <w:vAlign w:val="center"/>
          </w:tcPr>
          <w:p>
            <w:pPr>
              <w:spacing w:line="380" w:lineRule="exact"/>
              <w:rPr>
                <w:rFonts w:ascii="宋体" w:hAnsi="宋体"/>
                <w:color w:val="auto"/>
                <w:szCs w:val="21"/>
                <w:highlight w:val="none"/>
              </w:rPr>
            </w:pPr>
          </w:p>
        </w:tc>
        <w:tc>
          <w:tcPr>
            <w:tcW w:w="933" w:type="dxa"/>
            <w:noWrap w:val="0"/>
            <w:vAlign w:val="center"/>
          </w:tcPr>
          <w:p>
            <w:pPr>
              <w:spacing w:line="380" w:lineRule="exact"/>
              <w:rPr>
                <w:rFonts w:ascii="宋体" w:hAnsi="宋体"/>
                <w:color w:val="auto"/>
                <w:szCs w:val="21"/>
                <w:highlight w:val="none"/>
              </w:rPr>
            </w:pPr>
          </w:p>
        </w:tc>
      </w:tr>
    </w:tbl>
    <w:p>
      <w:pPr>
        <w:spacing w:line="0" w:lineRule="atLeast"/>
        <w:ind w:firstLine="600"/>
        <w:rPr>
          <w:rFonts w:hint="eastAsia" w:ascii="宋体" w:hAnsi="宋体"/>
          <w:b/>
          <w:color w:val="auto"/>
          <w:szCs w:val="21"/>
          <w:highlight w:val="none"/>
        </w:rPr>
      </w:pPr>
    </w:p>
    <w:p>
      <w:pPr>
        <w:spacing w:line="300" w:lineRule="exact"/>
        <w:rPr>
          <w:rFonts w:hint="eastAsia" w:ascii="宋体" w:hAnsi="宋体"/>
          <w:color w:val="auto"/>
          <w:szCs w:val="21"/>
          <w:highlight w:val="none"/>
        </w:rPr>
      </w:pPr>
      <w:r>
        <w:rPr>
          <w:rFonts w:hint="eastAsia" w:ascii="宋体" w:hAnsi="宋体"/>
          <w:color w:val="auto"/>
          <w:szCs w:val="21"/>
          <w:highlight w:val="none"/>
        </w:rPr>
        <w:t>注：</w:t>
      </w:r>
    </w:p>
    <w:p>
      <w:pPr>
        <w:tabs>
          <w:tab w:val="left" w:pos="13000"/>
        </w:tabs>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1．本表以合同包为单位，不同合同包请分别填写，同一合同包请按照该合同包的品目号顺序分别填写。</w:t>
      </w:r>
    </w:p>
    <w:p>
      <w:pPr>
        <w:tabs>
          <w:tab w:val="left" w:pos="13000"/>
        </w:tabs>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2．出厂价投标价格＝栏目5×栏目4（数量）＋栏目6至栏目10的各项费用。</w:t>
      </w:r>
    </w:p>
    <w:p>
      <w:pPr>
        <w:tabs>
          <w:tab w:val="left" w:pos="13000"/>
        </w:tabs>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3．现场交货投标价格＝栏目5×栏目4（数量）＋栏目6至栏目12的各项费用。</w:t>
      </w:r>
    </w:p>
    <w:p>
      <w:pPr>
        <w:tabs>
          <w:tab w:val="left" w:pos="13000"/>
        </w:tabs>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4．选购件价不包括在本报价表内，应另附纸分项单报。</w:t>
      </w:r>
    </w:p>
    <w:p>
      <w:pPr>
        <w:tabs>
          <w:tab w:val="left" w:pos="13000"/>
        </w:tabs>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5．此表第14项投标价若与开标一览表有出入，以开标一览表投标价格为准。</w:t>
      </w:r>
    </w:p>
    <w:p>
      <w:pPr>
        <w:tabs>
          <w:tab w:val="left" w:pos="13000"/>
        </w:tabs>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6、若未详细分项报价将被视为没有实质性响应招标文件。</w:t>
      </w:r>
    </w:p>
    <w:p>
      <w:pPr>
        <w:spacing w:line="380" w:lineRule="exact"/>
        <w:rPr>
          <w:rFonts w:hint="eastAsia" w:ascii="宋体" w:hAnsi="宋体"/>
          <w:color w:val="auto"/>
          <w:szCs w:val="21"/>
          <w:highlight w:val="none"/>
        </w:rPr>
      </w:pPr>
    </w:p>
    <w:p>
      <w:pPr>
        <w:spacing w:line="380" w:lineRule="exact"/>
        <w:rPr>
          <w:rFonts w:hint="eastAsia" w:ascii="宋体" w:hAnsi="宋体"/>
          <w:color w:val="auto"/>
          <w:szCs w:val="21"/>
          <w:highlight w:val="none"/>
          <w:u w:val="single"/>
        </w:rPr>
      </w:pPr>
      <w:r>
        <w:rPr>
          <w:rFonts w:hint="eastAsia" w:ascii="宋体" w:hAnsi="宋体"/>
          <w:color w:val="auto"/>
          <w:szCs w:val="21"/>
          <w:highlight w:val="none"/>
        </w:rPr>
        <w:t xml:space="preserve">投标人代表签字： </w:t>
      </w:r>
      <w:r>
        <w:rPr>
          <w:rFonts w:hint="eastAsia" w:ascii="宋体" w:hAnsi="宋体"/>
          <w:color w:val="auto"/>
          <w:szCs w:val="21"/>
          <w:highlight w:val="none"/>
          <w:u w:val="single"/>
        </w:rPr>
        <w:t xml:space="preserve">                </w:t>
      </w:r>
    </w:p>
    <w:p>
      <w:pPr>
        <w:spacing w:line="380" w:lineRule="exact"/>
        <w:jc w:val="center"/>
        <w:rPr>
          <w:rFonts w:hint="eastAsia" w:ascii="宋体" w:hAnsi="宋体"/>
          <w:b/>
          <w:color w:val="auto"/>
          <w:sz w:val="30"/>
          <w:szCs w:val="30"/>
          <w:highlight w:val="none"/>
        </w:rPr>
      </w:pPr>
      <w:r>
        <w:rPr>
          <w:rFonts w:ascii="宋体" w:hAnsi="宋体"/>
          <w:b/>
          <w:color w:val="auto"/>
          <w:sz w:val="30"/>
          <w:szCs w:val="30"/>
          <w:highlight w:val="none"/>
        </w:rPr>
        <w:br w:type="page"/>
      </w:r>
      <w:r>
        <w:rPr>
          <w:rFonts w:hint="eastAsia" w:ascii="宋体" w:hAnsi="宋体"/>
          <w:b/>
          <w:color w:val="auto"/>
          <w:sz w:val="30"/>
          <w:szCs w:val="30"/>
          <w:highlight w:val="none"/>
        </w:rPr>
        <w:t>表13-2、组成货物主要件和关键件清单（含价格）</w:t>
      </w:r>
    </w:p>
    <w:p>
      <w:pPr>
        <w:spacing w:line="380" w:lineRule="exact"/>
        <w:jc w:val="center"/>
        <w:rPr>
          <w:rFonts w:hint="eastAsia" w:ascii="宋体" w:hAnsi="宋体"/>
          <w:b/>
          <w:color w:val="auto"/>
          <w:sz w:val="30"/>
          <w:szCs w:val="30"/>
          <w:highlight w:val="none"/>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68"/>
        <w:gridCol w:w="735"/>
        <w:gridCol w:w="1365"/>
        <w:gridCol w:w="1155"/>
        <w:gridCol w:w="945"/>
        <w:gridCol w:w="630"/>
        <w:gridCol w:w="945"/>
        <w:gridCol w:w="735"/>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trPr>
        <w:tc>
          <w:tcPr>
            <w:tcW w:w="868" w:type="dxa"/>
            <w:noWrap w:val="0"/>
            <w:vAlign w:val="center"/>
          </w:tcPr>
          <w:p>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合同包/品目号</w:t>
            </w:r>
          </w:p>
        </w:tc>
        <w:tc>
          <w:tcPr>
            <w:tcW w:w="735" w:type="dxa"/>
            <w:noWrap w:val="0"/>
            <w:vAlign w:val="center"/>
          </w:tcPr>
          <w:p>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1365" w:type="dxa"/>
            <w:noWrap w:val="0"/>
            <w:vAlign w:val="center"/>
          </w:tcPr>
          <w:p>
            <w:pPr>
              <w:spacing w:line="380" w:lineRule="exact"/>
              <w:jc w:val="center"/>
              <w:rPr>
                <w:rFonts w:ascii="宋体" w:hAnsi="宋体"/>
                <w:b/>
                <w:color w:val="auto"/>
                <w:szCs w:val="21"/>
                <w:highlight w:val="none"/>
              </w:rPr>
            </w:pPr>
            <w:r>
              <w:rPr>
                <w:rFonts w:hint="eastAsia" w:ascii="宋体" w:hAnsi="宋体"/>
                <w:b/>
                <w:color w:val="auto"/>
                <w:szCs w:val="21"/>
                <w:highlight w:val="none"/>
              </w:rPr>
              <w:t>货物名称</w:t>
            </w:r>
          </w:p>
        </w:tc>
        <w:tc>
          <w:tcPr>
            <w:tcW w:w="1155" w:type="dxa"/>
            <w:noWrap w:val="0"/>
            <w:vAlign w:val="center"/>
          </w:tcPr>
          <w:p>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品牌、</w:t>
            </w:r>
          </w:p>
          <w:p>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规格、型号</w:t>
            </w:r>
          </w:p>
        </w:tc>
        <w:tc>
          <w:tcPr>
            <w:tcW w:w="945" w:type="dxa"/>
            <w:noWrap w:val="0"/>
            <w:vAlign w:val="center"/>
          </w:tcPr>
          <w:p>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产地</w:t>
            </w:r>
          </w:p>
        </w:tc>
        <w:tc>
          <w:tcPr>
            <w:tcW w:w="630" w:type="dxa"/>
            <w:noWrap w:val="0"/>
            <w:vAlign w:val="center"/>
          </w:tcPr>
          <w:p>
            <w:pPr>
              <w:spacing w:line="380" w:lineRule="exact"/>
              <w:jc w:val="center"/>
              <w:rPr>
                <w:rFonts w:ascii="宋体" w:hAnsi="宋体"/>
                <w:b/>
                <w:color w:val="auto"/>
                <w:szCs w:val="21"/>
                <w:highlight w:val="none"/>
              </w:rPr>
            </w:pPr>
            <w:r>
              <w:rPr>
                <w:rFonts w:hint="eastAsia" w:ascii="宋体" w:hAnsi="宋体"/>
                <w:b/>
                <w:color w:val="auto"/>
                <w:szCs w:val="21"/>
                <w:highlight w:val="none"/>
              </w:rPr>
              <w:t>数量</w:t>
            </w:r>
          </w:p>
        </w:tc>
        <w:tc>
          <w:tcPr>
            <w:tcW w:w="945" w:type="dxa"/>
            <w:noWrap w:val="0"/>
            <w:vAlign w:val="center"/>
          </w:tcPr>
          <w:p>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单价</w:t>
            </w:r>
          </w:p>
        </w:tc>
        <w:tc>
          <w:tcPr>
            <w:tcW w:w="735" w:type="dxa"/>
            <w:noWrap w:val="0"/>
            <w:vAlign w:val="center"/>
          </w:tcPr>
          <w:p>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总价</w:t>
            </w:r>
          </w:p>
        </w:tc>
        <w:tc>
          <w:tcPr>
            <w:tcW w:w="1050" w:type="dxa"/>
            <w:noWrap w:val="0"/>
            <w:vAlign w:val="center"/>
          </w:tcPr>
          <w:p>
            <w:pPr>
              <w:spacing w:line="380" w:lineRule="exact"/>
              <w:jc w:val="center"/>
              <w:rPr>
                <w:rFonts w:ascii="宋体" w:hAnsi="宋体"/>
                <w:b/>
                <w:color w:val="auto"/>
                <w:szCs w:val="21"/>
                <w:highlight w:val="none"/>
              </w:rPr>
            </w:pPr>
            <w:r>
              <w:rPr>
                <w:rFonts w:hint="eastAsia" w:ascii="宋体" w:hAnsi="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92" w:hRule="atLeast"/>
        </w:trPr>
        <w:tc>
          <w:tcPr>
            <w:tcW w:w="868" w:type="dxa"/>
            <w:noWrap w:val="0"/>
            <w:vAlign w:val="center"/>
          </w:tcPr>
          <w:p>
            <w:pPr>
              <w:spacing w:line="320" w:lineRule="exact"/>
              <w:rPr>
                <w:rFonts w:ascii="宋体" w:hAnsi="宋体"/>
                <w:color w:val="auto"/>
                <w:szCs w:val="21"/>
                <w:highlight w:val="none"/>
              </w:rPr>
            </w:pPr>
            <w:r>
              <w:rPr>
                <w:rFonts w:hint="eastAsia" w:ascii="宋体" w:hAnsi="宋体"/>
                <w:b/>
                <w:color w:val="auto"/>
                <w:highlight w:val="none"/>
              </w:rPr>
              <w:t xml:space="preserve"> </w:t>
            </w:r>
          </w:p>
          <w:p>
            <w:pPr>
              <w:spacing w:line="320" w:lineRule="exact"/>
              <w:rPr>
                <w:rFonts w:ascii="宋体" w:hAnsi="宋体"/>
                <w:color w:val="auto"/>
                <w:szCs w:val="21"/>
                <w:highlight w:val="none"/>
              </w:rPr>
            </w:pPr>
            <w:r>
              <w:rPr>
                <w:rFonts w:hint="eastAsia" w:ascii="宋体" w:hAnsi="宋体"/>
                <w:b/>
                <w:color w:val="auto"/>
                <w:highlight w:val="none"/>
              </w:rPr>
              <w:t xml:space="preserve"> </w:t>
            </w:r>
          </w:p>
        </w:tc>
        <w:tc>
          <w:tcPr>
            <w:tcW w:w="735" w:type="dxa"/>
            <w:noWrap w:val="0"/>
            <w:vAlign w:val="center"/>
          </w:tcPr>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 xml:space="preserve"> </w:t>
            </w:r>
          </w:p>
        </w:tc>
        <w:tc>
          <w:tcPr>
            <w:tcW w:w="1365" w:type="dxa"/>
            <w:noWrap w:val="0"/>
            <w:vAlign w:val="center"/>
          </w:tcPr>
          <w:p>
            <w:pPr>
              <w:spacing w:line="320" w:lineRule="exact"/>
              <w:rPr>
                <w:rFonts w:ascii="宋体" w:hAnsi="宋体"/>
                <w:color w:val="auto"/>
                <w:szCs w:val="21"/>
                <w:highlight w:val="none"/>
              </w:rPr>
            </w:pPr>
          </w:p>
        </w:tc>
        <w:tc>
          <w:tcPr>
            <w:tcW w:w="1155" w:type="dxa"/>
            <w:noWrap w:val="0"/>
            <w:vAlign w:val="center"/>
          </w:tcPr>
          <w:p>
            <w:pPr>
              <w:spacing w:line="320" w:lineRule="exact"/>
              <w:rPr>
                <w:rFonts w:ascii="宋体" w:hAnsi="宋体"/>
                <w:color w:val="auto"/>
                <w:szCs w:val="21"/>
                <w:highlight w:val="none"/>
              </w:rPr>
            </w:pPr>
          </w:p>
        </w:tc>
        <w:tc>
          <w:tcPr>
            <w:tcW w:w="945" w:type="dxa"/>
            <w:noWrap w:val="0"/>
            <w:vAlign w:val="center"/>
          </w:tcPr>
          <w:p>
            <w:pPr>
              <w:spacing w:line="320" w:lineRule="exact"/>
              <w:rPr>
                <w:rFonts w:ascii="宋体" w:hAnsi="宋体"/>
                <w:color w:val="auto"/>
                <w:szCs w:val="21"/>
                <w:highlight w:val="none"/>
              </w:rPr>
            </w:pPr>
          </w:p>
        </w:tc>
        <w:tc>
          <w:tcPr>
            <w:tcW w:w="630" w:type="dxa"/>
            <w:noWrap w:val="0"/>
            <w:vAlign w:val="center"/>
          </w:tcPr>
          <w:p>
            <w:pPr>
              <w:spacing w:line="320" w:lineRule="exact"/>
              <w:rPr>
                <w:rFonts w:ascii="宋体" w:hAnsi="宋体"/>
                <w:color w:val="auto"/>
                <w:szCs w:val="21"/>
                <w:highlight w:val="none"/>
              </w:rPr>
            </w:pPr>
          </w:p>
        </w:tc>
        <w:tc>
          <w:tcPr>
            <w:tcW w:w="945" w:type="dxa"/>
            <w:noWrap w:val="0"/>
            <w:vAlign w:val="center"/>
          </w:tcPr>
          <w:p>
            <w:pPr>
              <w:spacing w:line="320" w:lineRule="exact"/>
              <w:rPr>
                <w:rFonts w:ascii="宋体" w:hAnsi="宋体"/>
                <w:color w:val="auto"/>
                <w:szCs w:val="21"/>
                <w:highlight w:val="none"/>
              </w:rPr>
            </w:pPr>
          </w:p>
        </w:tc>
        <w:tc>
          <w:tcPr>
            <w:tcW w:w="735" w:type="dxa"/>
            <w:noWrap w:val="0"/>
            <w:vAlign w:val="center"/>
          </w:tcPr>
          <w:p>
            <w:pPr>
              <w:spacing w:line="320" w:lineRule="exact"/>
              <w:rPr>
                <w:rFonts w:ascii="宋体" w:hAnsi="宋体"/>
                <w:color w:val="auto"/>
                <w:szCs w:val="21"/>
                <w:highlight w:val="none"/>
              </w:rPr>
            </w:pPr>
          </w:p>
        </w:tc>
        <w:tc>
          <w:tcPr>
            <w:tcW w:w="1050" w:type="dxa"/>
            <w:noWrap w:val="0"/>
            <w:vAlign w:val="center"/>
          </w:tcPr>
          <w:p>
            <w:pPr>
              <w:spacing w:line="32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92" w:hRule="atLeast"/>
        </w:trPr>
        <w:tc>
          <w:tcPr>
            <w:tcW w:w="868" w:type="dxa"/>
            <w:noWrap w:val="0"/>
            <w:vAlign w:val="center"/>
          </w:tcPr>
          <w:p>
            <w:pPr>
              <w:spacing w:line="320" w:lineRule="exact"/>
              <w:rPr>
                <w:rFonts w:hint="eastAsia" w:ascii="宋体" w:hAnsi="宋体"/>
                <w:b/>
                <w:color w:val="auto"/>
                <w:highlight w:val="none"/>
              </w:rPr>
            </w:pPr>
          </w:p>
        </w:tc>
        <w:tc>
          <w:tcPr>
            <w:tcW w:w="735" w:type="dxa"/>
            <w:noWrap w:val="0"/>
            <w:vAlign w:val="center"/>
          </w:tcPr>
          <w:p>
            <w:pPr>
              <w:spacing w:line="320" w:lineRule="exact"/>
              <w:jc w:val="center"/>
              <w:rPr>
                <w:rFonts w:hint="eastAsia" w:ascii="宋体" w:hAnsi="宋体"/>
                <w:color w:val="auto"/>
                <w:szCs w:val="21"/>
                <w:highlight w:val="none"/>
              </w:rPr>
            </w:pPr>
          </w:p>
        </w:tc>
        <w:tc>
          <w:tcPr>
            <w:tcW w:w="1365" w:type="dxa"/>
            <w:noWrap w:val="0"/>
            <w:vAlign w:val="center"/>
          </w:tcPr>
          <w:p>
            <w:pPr>
              <w:spacing w:line="320" w:lineRule="exact"/>
              <w:rPr>
                <w:rFonts w:ascii="宋体" w:hAnsi="宋体"/>
                <w:color w:val="auto"/>
                <w:szCs w:val="21"/>
                <w:highlight w:val="none"/>
              </w:rPr>
            </w:pPr>
          </w:p>
        </w:tc>
        <w:tc>
          <w:tcPr>
            <w:tcW w:w="1155" w:type="dxa"/>
            <w:noWrap w:val="0"/>
            <w:vAlign w:val="center"/>
          </w:tcPr>
          <w:p>
            <w:pPr>
              <w:spacing w:line="320" w:lineRule="exact"/>
              <w:rPr>
                <w:rFonts w:ascii="宋体" w:hAnsi="宋体"/>
                <w:color w:val="auto"/>
                <w:szCs w:val="21"/>
                <w:highlight w:val="none"/>
              </w:rPr>
            </w:pPr>
          </w:p>
        </w:tc>
        <w:tc>
          <w:tcPr>
            <w:tcW w:w="945" w:type="dxa"/>
            <w:noWrap w:val="0"/>
            <w:vAlign w:val="center"/>
          </w:tcPr>
          <w:p>
            <w:pPr>
              <w:spacing w:line="320" w:lineRule="exact"/>
              <w:rPr>
                <w:rFonts w:ascii="宋体" w:hAnsi="宋体"/>
                <w:color w:val="auto"/>
                <w:szCs w:val="21"/>
                <w:highlight w:val="none"/>
              </w:rPr>
            </w:pPr>
          </w:p>
        </w:tc>
        <w:tc>
          <w:tcPr>
            <w:tcW w:w="630" w:type="dxa"/>
            <w:noWrap w:val="0"/>
            <w:vAlign w:val="center"/>
          </w:tcPr>
          <w:p>
            <w:pPr>
              <w:spacing w:line="320" w:lineRule="exact"/>
              <w:rPr>
                <w:rFonts w:ascii="宋体" w:hAnsi="宋体"/>
                <w:color w:val="auto"/>
                <w:szCs w:val="21"/>
                <w:highlight w:val="none"/>
              </w:rPr>
            </w:pPr>
          </w:p>
        </w:tc>
        <w:tc>
          <w:tcPr>
            <w:tcW w:w="945" w:type="dxa"/>
            <w:noWrap w:val="0"/>
            <w:vAlign w:val="center"/>
          </w:tcPr>
          <w:p>
            <w:pPr>
              <w:spacing w:line="320" w:lineRule="exact"/>
              <w:rPr>
                <w:rFonts w:ascii="宋体" w:hAnsi="宋体"/>
                <w:color w:val="auto"/>
                <w:szCs w:val="21"/>
                <w:highlight w:val="none"/>
              </w:rPr>
            </w:pPr>
          </w:p>
        </w:tc>
        <w:tc>
          <w:tcPr>
            <w:tcW w:w="735" w:type="dxa"/>
            <w:noWrap w:val="0"/>
            <w:vAlign w:val="center"/>
          </w:tcPr>
          <w:p>
            <w:pPr>
              <w:spacing w:line="320" w:lineRule="exact"/>
              <w:rPr>
                <w:rFonts w:ascii="宋体" w:hAnsi="宋体"/>
                <w:color w:val="auto"/>
                <w:szCs w:val="21"/>
                <w:highlight w:val="none"/>
              </w:rPr>
            </w:pPr>
          </w:p>
        </w:tc>
        <w:tc>
          <w:tcPr>
            <w:tcW w:w="1050" w:type="dxa"/>
            <w:noWrap w:val="0"/>
            <w:vAlign w:val="center"/>
          </w:tcPr>
          <w:p>
            <w:pPr>
              <w:spacing w:line="32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92" w:hRule="atLeast"/>
        </w:trPr>
        <w:tc>
          <w:tcPr>
            <w:tcW w:w="868" w:type="dxa"/>
            <w:noWrap w:val="0"/>
            <w:vAlign w:val="center"/>
          </w:tcPr>
          <w:p>
            <w:pPr>
              <w:spacing w:line="320" w:lineRule="exact"/>
              <w:rPr>
                <w:rFonts w:hint="eastAsia" w:ascii="宋体" w:hAnsi="宋体"/>
                <w:b/>
                <w:color w:val="auto"/>
                <w:highlight w:val="none"/>
              </w:rPr>
            </w:pPr>
          </w:p>
        </w:tc>
        <w:tc>
          <w:tcPr>
            <w:tcW w:w="735" w:type="dxa"/>
            <w:noWrap w:val="0"/>
            <w:vAlign w:val="center"/>
          </w:tcPr>
          <w:p>
            <w:pPr>
              <w:spacing w:line="320" w:lineRule="exact"/>
              <w:jc w:val="center"/>
              <w:rPr>
                <w:rFonts w:hint="eastAsia" w:ascii="宋体" w:hAnsi="宋体"/>
                <w:color w:val="auto"/>
                <w:szCs w:val="21"/>
                <w:highlight w:val="none"/>
              </w:rPr>
            </w:pPr>
          </w:p>
        </w:tc>
        <w:tc>
          <w:tcPr>
            <w:tcW w:w="1365" w:type="dxa"/>
            <w:noWrap w:val="0"/>
            <w:vAlign w:val="center"/>
          </w:tcPr>
          <w:p>
            <w:pPr>
              <w:spacing w:line="320" w:lineRule="exact"/>
              <w:rPr>
                <w:rFonts w:ascii="宋体" w:hAnsi="宋体"/>
                <w:color w:val="auto"/>
                <w:szCs w:val="21"/>
                <w:highlight w:val="none"/>
              </w:rPr>
            </w:pPr>
          </w:p>
        </w:tc>
        <w:tc>
          <w:tcPr>
            <w:tcW w:w="1155" w:type="dxa"/>
            <w:noWrap w:val="0"/>
            <w:vAlign w:val="center"/>
          </w:tcPr>
          <w:p>
            <w:pPr>
              <w:spacing w:line="320" w:lineRule="exact"/>
              <w:rPr>
                <w:rFonts w:ascii="宋体" w:hAnsi="宋体"/>
                <w:color w:val="auto"/>
                <w:szCs w:val="21"/>
                <w:highlight w:val="none"/>
              </w:rPr>
            </w:pPr>
          </w:p>
        </w:tc>
        <w:tc>
          <w:tcPr>
            <w:tcW w:w="945" w:type="dxa"/>
            <w:noWrap w:val="0"/>
            <w:vAlign w:val="center"/>
          </w:tcPr>
          <w:p>
            <w:pPr>
              <w:spacing w:line="320" w:lineRule="exact"/>
              <w:rPr>
                <w:rFonts w:ascii="宋体" w:hAnsi="宋体"/>
                <w:color w:val="auto"/>
                <w:szCs w:val="21"/>
                <w:highlight w:val="none"/>
              </w:rPr>
            </w:pPr>
          </w:p>
        </w:tc>
        <w:tc>
          <w:tcPr>
            <w:tcW w:w="630" w:type="dxa"/>
            <w:noWrap w:val="0"/>
            <w:vAlign w:val="center"/>
          </w:tcPr>
          <w:p>
            <w:pPr>
              <w:spacing w:line="320" w:lineRule="exact"/>
              <w:rPr>
                <w:rFonts w:ascii="宋体" w:hAnsi="宋体"/>
                <w:color w:val="auto"/>
                <w:szCs w:val="21"/>
                <w:highlight w:val="none"/>
              </w:rPr>
            </w:pPr>
          </w:p>
        </w:tc>
        <w:tc>
          <w:tcPr>
            <w:tcW w:w="945" w:type="dxa"/>
            <w:noWrap w:val="0"/>
            <w:vAlign w:val="center"/>
          </w:tcPr>
          <w:p>
            <w:pPr>
              <w:spacing w:line="320" w:lineRule="exact"/>
              <w:rPr>
                <w:rFonts w:ascii="宋体" w:hAnsi="宋体"/>
                <w:color w:val="auto"/>
                <w:szCs w:val="21"/>
                <w:highlight w:val="none"/>
              </w:rPr>
            </w:pPr>
          </w:p>
        </w:tc>
        <w:tc>
          <w:tcPr>
            <w:tcW w:w="735" w:type="dxa"/>
            <w:noWrap w:val="0"/>
            <w:vAlign w:val="center"/>
          </w:tcPr>
          <w:p>
            <w:pPr>
              <w:spacing w:line="320" w:lineRule="exact"/>
              <w:rPr>
                <w:rFonts w:ascii="宋体" w:hAnsi="宋体"/>
                <w:color w:val="auto"/>
                <w:szCs w:val="21"/>
                <w:highlight w:val="none"/>
              </w:rPr>
            </w:pPr>
          </w:p>
        </w:tc>
        <w:tc>
          <w:tcPr>
            <w:tcW w:w="1050" w:type="dxa"/>
            <w:noWrap w:val="0"/>
            <w:vAlign w:val="center"/>
          </w:tcPr>
          <w:p>
            <w:pPr>
              <w:spacing w:line="32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92" w:hRule="atLeast"/>
        </w:trPr>
        <w:tc>
          <w:tcPr>
            <w:tcW w:w="868" w:type="dxa"/>
            <w:noWrap w:val="0"/>
            <w:vAlign w:val="center"/>
          </w:tcPr>
          <w:p>
            <w:pPr>
              <w:spacing w:line="320" w:lineRule="exact"/>
              <w:rPr>
                <w:rFonts w:hint="eastAsia" w:ascii="宋体" w:hAnsi="宋体"/>
                <w:b/>
                <w:color w:val="auto"/>
                <w:highlight w:val="none"/>
              </w:rPr>
            </w:pPr>
          </w:p>
        </w:tc>
        <w:tc>
          <w:tcPr>
            <w:tcW w:w="735" w:type="dxa"/>
            <w:noWrap w:val="0"/>
            <w:vAlign w:val="center"/>
          </w:tcPr>
          <w:p>
            <w:pPr>
              <w:spacing w:line="320" w:lineRule="exact"/>
              <w:jc w:val="center"/>
              <w:rPr>
                <w:rFonts w:hint="eastAsia" w:ascii="宋体" w:hAnsi="宋体"/>
                <w:color w:val="auto"/>
                <w:szCs w:val="21"/>
                <w:highlight w:val="none"/>
              </w:rPr>
            </w:pPr>
          </w:p>
        </w:tc>
        <w:tc>
          <w:tcPr>
            <w:tcW w:w="1365" w:type="dxa"/>
            <w:noWrap w:val="0"/>
            <w:vAlign w:val="center"/>
          </w:tcPr>
          <w:p>
            <w:pPr>
              <w:spacing w:line="320" w:lineRule="exact"/>
              <w:rPr>
                <w:rFonts w:ascii="宋体" w:hAnsi="宋体"/>
                <w:color w:val="auto"/>
                <w:szCs w:val="21"/>
                <w:highlight w:val="none"/>
              </w:rPr>
            </w:pPr>
          </w:p>
        </w:tc>
        <w:tc>
          <w:tcPr>
            <w:tcW w:w="1155" w:type="dxa"/>
            <w:noWrap w:val="0"/>
            <w:vAlign w:val="center"/>
          </w:tcPr>
          <w:p>
            <w:pPr>
              <w:spacing w:line="320" w:lineRule="exact"/>
              <w:rPr>
                <w:rFonts w:ascii="宋体" w:hAnsi="宋体"/>
                <w:color w:val="auto"/>
                <w:szCs w:val="21"/>
                <w:highlight w:val="none"/>
              </w:rPr>
            </w:pPr>
          </w:p>
        </w:tc>
        <w:tc>
          <w:tcPr>
            <w:tcW w:w="945" w:type="dxa"/>
            <w:noWrap w:val="0"/>
            <w:vAlign w:val="center"/>
          </w:tcPr>
          <w:p>
            <w:pPr>
              <w:spacing w:line="320" w:lineRule="exact"/>
              <w:rPr>
                <w:rFonts w:ascii="宋体" w:hAnsi="宋体"/>
                <w:color w:val="auto"/>
                <w:szCs w:val="21"/>
                <w:highlight w:val="none"/>
              </w:rPr>
            </w:pPr>
          </w:p>
        </w:tc>
        <w:tc>
          <w:tcPr>
            <w:tcW w:w="630" w:type="dxa"/>
            <w:noWrap w:val="0"/>
            <w:vAlign w:val="center"/>
          </w:tcPr>
          <w:p>
            <w:pPr>
              <w:spacing w:line="320" w:lineRule="exact"/>
              <w:rPr>
                <w:rFonts w:ascii="宋体" w:hAnsi="宋体"/>
                <w:color w:val="auto"/>
                <w:szCs w:val="21"/>
                <w:highlight w:val="none"/>
              </w:rPr>
            </w:pPr>
          </w:p>
        </w:tc>
        <w:tc>
          <w:tcPr>
            <w:tcW w:w="945" w:type="dxa"/>
            <w:noWrap w:val="0"/>
            <w:vAlign w:val="center"/>
          </w:tcPr>
          <w:p>
            <w:pPr>
              <w:spacing w:line="320" w:lineRule="exact"/>
              <w:rPr>
                <w:rFonts w:ascii="宋体" w:hAnsi="宋体"/>
                <w:color w:val="auto"/>
                <w:szCs w:val="21"/>
                <w:highlight w:val="none"/>
              </w:rPr>
            </w:pPr>
          </w:p>
        </w:tc>
        <w:tc>
          <w:tcPr>
            <w:tcW w:w="735" w:type="dxa"/>
            <w:noWrap w:val="0"/>
            <w:vAlign w:val="center"/>
          </w:tcPr>
          <w:p>
            <w:pPr>
              <w:spacing w:line="320" w:lineRule="exact"/>
              <w:rPr>
                <w:rFonts w:ascii="宋体" w:hAnsi="宋体"/>
                <w:color w:val="auto"/>
                <w:szCs w:val="21"/>
                <w:highlight w:val="none"/>
              </w:rPr>
            </w:pPr>
          </w:p>
        </w:tc>
        <w:tc>
          <w:tcPr>
            <w:tcW w:w="1050" w:type="dxa"/>
            <w:noWrap w:val="0"/>
            <w:vAlign w:val="center"/>
          </w:tcPr>
          <w:p>
            <w:pPr>
              <w:spacing w:line="32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92" w:hRule="atLeast"/>
        </w:trPr>
        <w:tc>
          <w:tcPr>
            <w:tcW w:w="868" w:type="dxa"/>
            <w:noWrap w:val="0"/>
            <w:vAlign w:val="center"/>
          </w:tcPr>
          <w:p>
            <w:pPr>
              <w:spacing w:line="320" w:lineRule="exact"/>
              <w:rPr>
                <w:rFonts w:hint="eastAsia" w:ascii="宋体" w:hAnsi="宋体"/>
                <w:b/>
                <w:color w:val="auto"/>
                <w:highlight w:val="none"/>
              </w:rPr>
            </w:pPr>
          </w:p>
        </w:tc>
        <w:tc>
          <w:tcPr>
            <w:tcW w:w="735" w:type="dxa"/>
            <w:noWrap w:val="0"/>
            <w:vAlign w:val="center"/>
          </w:tcPr>
          <w:p>
            <w:pPr>
              <w:spacing w:line="320" w:lineRule="exact"/>
              <w:jc w:val="center"/>
              <w:rPr>
                <w:rFonts w:hint="eastAsia" w:ascii="宋体" w:hAnsi="宋体"/>
                <w:color w:val="auto"/>
                <w:szCs w:val="21"/>
                <w:highlight w:val="none"/>
              </w:rPr>
            </w:pPr>
          </w:p>
        </w:tc>
        <w:tc>
          <w:tcPr>
            <w:tcW w:w="1365" w:type="dxa"/>
            <w:noWrap w:val="0"/>
            <w:vAlign w:val="center"/>
          </w:tcPr>
          <w:p>
            <w:pPr>
              <w:spacing w:line="320" w:lineRule="exact"/>
              <w:rPr>
                <w:rFonts w:ascii="宋体" w:hAnsi="宋体"/>
                <w:color w:val="auto"/>
                <w:szCs w:val="21"/>
                <w:highlight w:val="none"/>
              </w:rPr>
            </w:pPr>
          </w:p>
        </w:tc>
        <w:tc>
          <w:tcPr>
            <w:tcW w:w="1155" w:type="dxa"/>
            <w:noWrap w:val="0"/>
            <w:vAlign w:val="center"/>
          </w:tcPr>
          <w:p>
            <w:pPr>
              <w:spacing w:line="320" w:lineRule="exact"/>
              <w:rPr>
                <w:rFonts w:ascii="宋体" w:hAnsi="宋体"/>
                <w:color w:val="auto"/>
                <w:szCs w:val="21"/>
                <w:highlight w:val="none"/>
              </w:rPr>
            </w:pPr>
          </w:p>
        </w:tc>
        <w:tc>
          <w:tcPr>
            <w:tcW w:w="945" w:type="dxa"/>
            <w:noWrap w:val="0"/>
            <w:vAlign w:val="center"/>
          </w:tcPr>
          <w:p>
            <w:pPr>
              <w:spacing w:line="320" w:lineRule="exact"/>
              <w:rPr>
                <w:rFonts w:ascii="宋体" w:hAnsi="宋体"/>
                <w:color w:val="auto"/>
                <w:szCs w:val="21"/>
                <w:highlight w:val="none"/>
              </w:rPr>
            </w:pPr>
          </w:p>
        </w:tc>
        <w:tc>
          <w:tcPr>
            <w:tcW w:w="630" w:type="dxa"/>
            <w:noWrap w:val="0"/>
            <w:vAlign w:val="center"/>
          </w:tcPr>
          <w:p>
            <w:pPr>
              <w:spacing w:line="320" w:lineRule="exact"/>
              <w:rPr>
                <w:rFonts w:ascii="宋体" w:hAnsi="宋体"/>
                <w:color w:val="auto"/>
                <w:szCs w:val="21"/>
                <w:highlight w:val="none"/>
              </w:rPr>
            </w:pPr>
          </w:p>
        </w:tc>
        <w:tc>
          <w:tcPr>
            <w:tcW w:w="945" w:type="dxa"/>
            <w:noWrap w:val="0"/>
            <w:vAlign w:val="center"/>
          </w:tcPr>
          <w:p>
            <w:pPr>
              <w:spacing w:line="320" w:lineRule="exact"/>
              <w:rPr>
                <w:rFonts w:ascii="宋体" w:hAnsi="宋体"/>
                <w:color w:val="auto"/>
                <w:szCs w:val="21"/>
                <w:highlight w:val="none"/>
              </w:rPr>
            </w:pPr>
          </w:p>
        </w:tc>
        <w:tc>
          <w:tcPr>
            <w:tcW w:w="735" w:type="dxa"/>
            <w:noWrap w:val="0"/>
            <w:vAlign w:val="center"/>
          </w:tcPr>
          <w:p>
            <w:pPr>
              <w:spacing w:line="320" w:lineRule="exact"/>
              <w:rPr>
                <w:rFonts w:ascii="宋体" w:hAnsi="宋体"/>
                <w:color w:val="auto"/>
                <w:szCs w:val="21"/>
                <w:highlight w:val="none"/>
              </w:rPr>
            </w:pPr>
          </w:p>
        </w:tc>
        <w:tc>
          <w:tcPr>
            <w:tcW w:w="1050" w:type="dxa"/>
            <w:noWrap w:val="0"/>
            <w:vAlign w:val="center"/>
          </w:tcPr>
          <w:p>
            <w:pPr>
              <w:spacing w:line="32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92" w:hRule="atLeast"/>
        </w:trPr>
        <w:tc>
          <w:tcPr>
            <w:tcW w:w="868" w:type="dxa"/>
            <w:noWrap w:val="0"/>
            <w:vAlign w:val="center"/>
          </w:tcPr>
          <w:p>
            <w:pPr>
              <w:spacing w:line="320" w:lineRule="exact"/>
              <w:rPr>
                <w:rFonts w:hint="eastAsia" w:ascii="宋体" w:hAnsi="宋体"/>
                <w:b/>
                <w:color w:val="auto"/>
                <w:highlight w:val="none"/>
              </w:rPr>
            </w:pPr>
          </w:p>
        </w:tc>
        <w:tc>
          <w:tcPr>
            <w:tcW w:w="735" w:type="dxa"/>
            <w:noWrap w:val="0"/>
            <w:vAlign w:val="center"/>
          </w:tcPr>
          <w:p>
            <w:pPr>
              <w:spacing w:line="320" w:lineRule="exact"/>
              <w:jc w:val="center"/>
              <w:rPr>
                <w:rFonts w:hint="eastAsia" w:ascii="宋体" w:hAnsi="宋体"/>
                <w:color w:val="auto"/>
                <w:szCs w:val="21"/>
                <w:highlight w:val="none"/>
              </w:rPr>
            </w:pPr>
          </w:p>
        </w:tc>
        <w:tc>
          <w:tcPr>
            <w:tcW w:w="1365" w:type="dxa"/>
            <w:noWrap w:val="0"/>
            <w:vAlign w:val="center"/>
          </w:tcPr>
          <w:p>
            <w:pPr>
              <w:spacing w:line="320" w:lineRule="exact"/>
              <w:rPr>
                <w:rFonts w:ascii="宋体" w:hAnsi="宋体"/>
                <w:color w:val="auto"/>
                <w:szCs w:val="21"/>
                <w:highlight w:val="none"/>
              </w:rPr>
            </w:pPr>
          </w:p>
        </w:tc>
        <w:tc>
          <w:tcPr>
            <w:tcW w:w="1155" w:type="dxa"/>
            <w:noWrap w:val="0"/>
            <w:vAlign w:val="center"/>
          </w:tcPr>
          <w:p>
            <w:pPr>
              <w:spacing w:line="320" w:lineRule="exact"/>
              <w:rPr>
                <w:rFonts w:ascii="宋体" w:hAnsi="宋体"/>
                <w:color w:val="auto"/>
                <w:szCs w:val="21"/>
                <w:highlight w:val="none"/>
              </w:rPr>
            </w:pPr>
          </w:p>
        </w:tc>
        <w:tc>
          <w:tcPr>
            <w:tcW w:w="945" w:type="dxa"/>
            <w:noWrap w:val="0"/>
            <w:vAlign w:val="center"/>
          </w:tcPr>
          <w:p>
            <w:pPr>
              <w:spacing w:line="320" w:lineRule="exact"/>
              <w:rPr>
                <w:rFonts w:ascii="宋体" w:hAnsi="宋体"/>
                <w:color w:val="auto"/>
                <w:szCs w:val="21"/>
                <w:highlight w:val="none"/>
              </w:rPr>
            </w:pPr>
          </w:p>
        </w:tc>
        <w:tc>
          <w:tcPr>
            <w:tcW w:w="630" w:type="dxa"/>
            <w:noWrap w:val="0"/>
            <w:vAlign w:val="center"/>
          </w:tcPr>
          <w:p>
            <w:pPr>
              <w:spacing w:line="320" w:lineRule="exact"/>
              <w:rPr>
                <w:rFonts w:ascii="宋体" w:hAnsi="宋体"/>
                <w:color w:val="auto"/>
                <w:szCs w:val="21"/>
                <w:highlight w:val="none"/>
              </w:rPr>
            </w:pPr>
          </w:p>
        </w:tc>
        <w:tc>
          <w:tcPr>
            <w:tcW w:w="945" w:type="dxa"/>
            <w:noWrap w:val="0"/>
            <w:vAlign w:val="center"/>
          </w:tcPr>
          <w:p>
            <w:pPr>
              <w:spacing w:line="320" w:lineRule="exact"/>
              <w:rPr>
                <w:rFonts w:ascii="宋体" w:hAnsi="宋体"/>
                <w:color w:val="auto"/>
                <w:szCs w:val="21"/>
                <w:highlight w:val="none"/>
              </w:rPr>
            </w:pPr>
          </w:p>
        </w:tc>
        <w:tc>
          <w:tcPr>
            <w:tcW w:w="735" w:type="dxa"/>
            <w:noWrap w:val="0"/>
            <w:vAlign w:val="center"/>
          </w:tcPr>
          <w:p>
            <w:pPr>
              <w:spacing w:line="320" w:lineRule="exact"/>
              <w:rPr>
                <w:rFonts w:ascii="宋体" w:hAnsi="宋体"/>
                <w:color w:val="auto"/>
                <w:szCs w:val="21"/>
                <w:highlight w:val="none"/>
              </w:rPr>
            </w:pPr>
          </w:p>
        </w:tc>
        <w:tc>
          <w:tcPr>
            <w:tcW w:w="1050" w:type="dxa"/>
            <w:noWrap w:val="0"/>
            <w:vAlign w:val="center"/>
          </w:tcPr>
          <w:p>
            <w:pPr>
              <w:spacing w:line="32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92" w:hRule="atLeast"/>
        </w:trPr>
        <w:tc>
          <w:tcPr>
            <w:tcW w:w="868" w:type="dxa"/>
            <w:noWrap w:val="0"/>
            <w:vAlign w:val="center"/>
          </w:tcPr>
          <w:p>
            <w:pPr>
              <w:spacing w:line="320" w:lineRule="exact"/>
              <w:rPr>
                <w:rFonts w:hint="eastAsia" w:ascii="宋体" w:hAnsi="宋体"/>
                <w:b/>
                <w:color w:val="auto"/>
                <w:highlight w:val="none"/>
              </w:rPr>
            </w:pPr>
          </w:p>
        </w:tc>
        <w:tc>
          <w:tcPr>
            <w:tcW w:w="735" w:type="dxa"/>
            <w:noWrap w:val="0"/>
            <w:vAlign w:val="center"/>
          </w:tcPr>
          <w:p>
            <w:pPr>
              <w:spacing w:line="320" w:lineRule="exact"/>
              <w:jc w:val="center"/>
              <w:rPr>
                <w:rFonts w:hint="eastAsia" w:ascii="宋体" w:hAnsi="宋体"/>
                <w:color w:val="auto"/>
                <w:szCs w:val="21"/>
                <w:highlight w:val="none"/>
              </w:rPr>
            </w:pPr>
          </w:p>
        </w:tc>
        <w:tc>
          <w:tcPr>
            <w:tcW w:w="1365" w:type="dxa"/>
            <w:noWrap w:val="0"/>
            <w:vAlign w:val="center"/>
          </w:tcPr>
          <w:p>
            <w:pPr>
              <w:spacing w:line="320" w:lineRule="exact"/>
              <w:rPr>
                <w:rFonts w:ascii="宋体" w:hAnsi="宋体"/>
                <w:color w:val="auto"/>
                <w:szCs w:val="21"/>
                <w:highlight w:val="none"/>
              </w:rPr>
            </w:pPr>
          </w:p>
        </w:tc>
        <w:tc>
          <w:tcPr>
            <w:tcW w:w="1155" w:type="dxa"/>
            <w:noWrap w:val="0"/>
            <w:vAlign w:val="center"/>
          </w:tcPr>
          <w:p>
            <w:pPr>
              <w:spacing w:line="320" w:lineRule="exact"/>
              <w:rPr>
                <w:rFonts w:ascii="宋体" w:hAnsi="宋体"/>
                <w:color w:val="auto"/>
                <w:szCs w:val="21"/>
                <w:highlight w:val="none"/>
              </w:rPr>
            </w:pPr>
          </w:p>
        </w:tc>
        <w:tc>
          <w:tcPr>
            <w:tcW w:w="945" w:type="dxa"/>
            <w:noWrap w:val="0"/>
            <w:vAlign w:val="center"/>
          </w:tcPr>
          <w:p>
            <w:pPr>
              <w:spacing w:line="320" w:lineRule="exact"/>
              <w:rPr>
                <w:rFonts w:ascii="宋体" w:hAnsi="宋体"/>
                <w:color w:val="auto"/>
                <w:szCs w:val="21"/>
                <w:highlight w:val="none"/>
              </w:rPr>
            </w:pPr>
          </w:p>
        </w:tc>
        <w:tc>
          <w:tcPr>
            <w:tcW w:w="630" w:type="dxa"/>
            <w:noWrap w:val="0"/>
            <w:vAlign w:val="center"/>
          </w:tcPr>
          <w:p>
            <w:pPr>
              <w:spacing w:line="320" w:lineRule="exact"/>
              <w:rPr>
                <w:rFonts w:ascii="宋体" w:hAnsi="宋体"/>
                <w:color w:val="auto"/>
                <w:szCs w:val="21"/>
                <w:highlight w:val="none"/>
              </w:rPr>
            </w:pPr>
          </w:p>
        </w:tc>
        <w:tc>
          <w:tcPr>
            <w:tcW w:w="945" w:type="dxa"/>
            <w:noWrap w:val="0"/>
            <w:vAlign w:val="center"/>
          </w:tcPr>
          <w:p>
            <w:pPr>
              <w:spacing w:line="320" w:lineRule="exact"/>
              <w:rPr>
                <w:rFonts w:ascii="宋体" w:hAnsi="宋体"/>
                <w:color w:val="auto"/>
                <w:szCs w:val="21"/>
                <w:highlight w:val="none"/>
              </w:rPr>
            </w:pPr>
          </w:p>
        </w:tc>
        <w:tc>
          <w:tcPr>
            <w:tcW w:w="735" w:type="dxa"/>
            <w:noWrap w:val="0"/>
            <w:vAlign w:val="center"/>
          </w:tcPr>
          <w:p>
            <w:pPr>
              <w:spacing w:line="320" w:lineRule="exact"/>
              <w:rPr>
                <w:rFonts w:ascii="宋体" w:hAnsi="宋体"/>
                <w:color w:val="auto"/>
                <w:szCs w:val="21"/>
                <w:highlight w:val="none"/>
              </w:rPr>
            </w:pPr>
          </w:p>
        </w:tc>
        <w:tc>
          <w:tcPr>
            <w:tcW w:w="1050" w:type="dxa"/>
            <w:noWrap w:val="0"/>
            <w:vAlign w:val="center"/>
          </w:tcPr>
          <w:p>
            <w:pPr>
              <w:spacing w:line="32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92" w:hRule="atLeast"/>
        </w:trPr>
        <w:tc>
          <w:tcPr>
            <w:tcW w:w="868" w:type="dxa"/>
            <w:noWrap w:val="0"/>
            <w:vAlign w:val="center"/>
          </w:tcPr>
          <w:p>
            <w:pPr>
              <w:spacing w:line="320" w:lineRule="exact"/>
              <w:rPr>
                <w:rFonts w:hint="eastAsia" w:ascii="宋体" w:hAnsi="宋体"/>
                <w:b/>
                <w:color w:val="auto"/>
                <w:highlight w:val="none"/>
              </w:rPr>
            </w:pPr>
          </w:p>
        </w:tc>
        <w:tc>
          <w:tcPr>
            <w:tcW w:w="735" w:type="dxa"/>
            <w:noWrap w:val="0"/>
            <w:vAlign w:val="center"/>
          </w:tcPr>
          <w:p>
            <w:pPr>
              <w:spacing w:line="320" w:lineRule="exact"/>
              <w:jc w:val="center"/>
              <w:rPr>
                <w:rFonts w:hint="eastAsia" w:ascii="宋体" w:hAnsi="宋体"/>
                <w:color w:val="auto"/>
                <w:szCs w:val="21"/>
                <w:highlight w:val="none"/>
              </w:rPr>
            </w:pPr>
          </w:p>
        </w:tc>
        <w:tc>
          <w:tcPr>
            <w:tcW w:w="1365" w:type="dxa"/>
            <w:noWrap w:val="0"/>
            <w:vAlign w:val="center"/>
          </w:tcPr>
          <w:p>
            <w:pPr>
              <w:spacing w:line="320" w:lineRule="exact"/>
              <w:rPr>
                <w:rFonts w:ascii="宋体" w:hAnsi="宋体"/>
                <w:color w:val="auto"/>
                <w:szCs w:val="21"/>
                <w:highlight w:val="none"/>
              </w:rPr>
            </w:pPr>
          </w:p>
        </w:tc>
        <w:tc>
          <w:tcPr>
            <w:tcW w:w="1155" w:type="dxa"/>
            <w:noWrap w:val="0"/>
            <w:vAlign w:val="center"/>
          </w:tcPr>
          <w:p>
            <w:pPr>
              <w:spacing w:line="320" w:lineRule="exact"/>
              <w:rPr>
                <w:rFonts w:ascii="宋体" w:hAnsi="宋体"/>
                <w:color w:val="auto"/>
                <w:szCs w:val="21"/>
                <w:highlight w:val="none"/>
              </w:rPr>
            </w:pPr>
          </w:p>
        </w:tc>
        <w:tc>
          <w:tcPr>
            <w:tcW w:w="945" w:type="dxa"/>
            <w:noWrap w:val="0"/>
            <w:vAlign w:val="center"/>
          </w:tcPr>
          <w:p>
            <w:pPr>
              <w:spacing w:line="320" w:lineRule="exact"/>
              <w:rPr>
                <w:rFonts w:ascii="宋体" w:hAnsi="宋体"/>
                <w:color w:val="auto"/>
                <w:szCs w:val="21"/>
                <w:highlight w:val="none"/>
              </w:rPr>
            </w:pPr>
          </w:p>
        </w:tc>
        <w:tc>
          <w:tcPr>
            <w:tcW w:w="630" w:type="dxa"/>
            <w:noWrap w:val="0"/>
            <w:vAlign w:val="center"/>
          </w:tcPr>
          <w:p>
            <w:pPr>
              <w:spacing w:line="320" w:lineRule="exact"/>
              <w:rPr>
                <w:rFonts w:ascii="宋体" w:hAnsi="宋体"/>
                <w:color w:val="auto"/>
                <w:szCs w:val="21"/>
                <w:highlight w:val="none"/>
              </w:rPr>
            </w:pPr>
          </w:p>
        </w:tc>
        <w:tc>
          <w:tcPr>
            <w:tcW w:w="945" w:type="dxa"/>
            <w:noWrap w:val="0"/>
            <w:vAlign w:val="center"/>
          </w:tcPr>
          <w:p>
            <w:pPr>
              <w:spacing w:line="320" w:lineRule="exact"/>
              <w:rPr>
                <w:rFonts w:ascii="宋体" w:hAnsi="宋体"/>
                <w:color w:val="auto"/>
                <w:szCs w:val="21"/>
                <w:highlight w:val="none"/>
              </w:rPr>
            </w:pPr>
          </w:p>
        </w:tc>
        <w:tc>
          <w:tcPr>
            <w:tcW w:w="735" w:type="dxa"/>
            <w:noWrap w:val="0"/>
            <w:vAlign w:val="center"/>
          </w:tcPr>
          <w:p>
            <w:pPr>
              <w:spacing w:line="320" w:lineRule="exact"/>
              <w:rPr>
                <w:rFonts w:ascii="宋体" w:hAnsi="宋体"/>
                <w:color w:val="auto"/>
                <w:szCs w:val="21"/>
                <w:highlight w:val="none"/>
              </w:rPr>
            </w:pPr>
          </w:p>
        </w:tc>
        <w:tc>
          <w:tcPr>
            <w:tcW w:w="1050" w:type="dxa"/>
            <w:noWrap w:val="0"/>
            <w:vAlign w:val="center"/>
          </w:tcPr>
          <w:p>
            <w:pPr>
              <w:spacing w:line="32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92" w:hRule="atLeast"/>
        </w:trPr>
        <w:tc>
          <w:tcPr>
            <w:tcW w:w="868" w:type="dxa"/>
            <w:noWrap w:val="0"/>
            <w:vAlign w:val="center"/>
          </w:tcPr>
          <w:p>
            <w:pPr>
              <w:spacing w:line="320" w:lineRule="exact"/>
              <w:rPr>
                <w:rFonts w:hint="eastAsia" w:ascii="宋体" w:hAnsi="宋体"/>
                <w:b/>
                <w:color w:val="auto"/>
                <w:highlight w:val="none"/>
              </w:rPr>
            </w:pPr>
          </w:p>
        </w:tc>
        <w:tc>
          <w:tcPr>
            <w:tcW w:w="735" w:type="dxa"/>
            <w:noWrap w:val="0"/>
            <w:vAlign w:val="center"/>
          </w:tcPr>
          <w:p>
            <w:pPr>
              <w:spacing w:line="320" w:lineRule="exact"/>
              <w:jc w:val="center"/>
              <w:rPr>
                <w:rFonts w:hint="eastAsia" w:ascii="宋体" w:hAnsi="宋体"/>
                <w:color w:val="auto"/>
                <w:szCs w:val="21"/>
                <w:highlight w:val="none"/>
              </w:rPr>
            </w:pPr>
          </w:p>
        </w:tc>
        <w:tc>
          <w:tcPr>
            <w:tcW w:w="1365" w:type="dxa"/>
            <w:noWrap w:val="0"/>
            <w:vAlign w:val="center"/>
          </w:tcPr>
          <w:p>
            <w:pPr>
              <w:spacing w:line="320" w:lineRule="exact"/>
              <w:rPr>
                <w:rFonts w:ascii="宋体" w:hAnsi="宋体"/>
                <w:color w:val="auto"/>
                <w:szCs w:val="21"/>
                <w:highlight w:val="none"/>
              </w:rPr>
            </w:pPr>
          </w:p>
        </w:tc>
        <w:tc>
          <w:tcPr>
            <w:tcW w:w="1155" w:type="dxa"/>
            <w:noWrap w:val="0"/>
            <w:vAlign w:val="center"/>
          </w:tcPr>
          <w:p>
            <w:pPr>
              <w:spacing w:line="320" w:lineRule="exact"/>
              <w:rPr>
                <w:rFonts w:ascii="宋体" w:hAnsi="宋体"/>
                <w:color w:val="auto"/>
                <w:szCs w:val="21"/>
                <w:highlight w:val="none"/>
              </w:rPr>
            </w:pPr>
          </w:p>
        </w:tc>
        <w:tc>
          <w:tcPr>
            <w:tcW w:w="945" w:type="dxa"/>
            <w:noWrap w:val="0"/>
            <w:vAlign w:val="center"/>
          </w:tcPr>
          <w:p>
            <w:pPr>
              <w:spacing w:line="320" w:lineRule="exact"/>
              <w:rPr>
                <w:rFonts w:ascii="宋体" w:hAnsi="宋体"/>
                <w:color w:val="auto"/>
                <w:szCs w:val="21"/>
                <w:highlight w:val="none"/>
              </w:rPr>
            </w:pPr>
          </w:p>
        </w:tc>
        <w:tc>
          <w:tcPr>
            <w:tcW w:w="630" w:type="dxa"/>
            <w:noWrap w:val="0"/>
            <w:vAlign w:val="center"/>
          </w:tcPr>
          <w:p>
            <w:pPr>
              <w:spacing w:line="320" w:lineRule="exact"/>
              <w:rPr>
                <w:rFonts w:ascii="宋体" w:hAnsi="宋体"/>
                <w:color w:val="auto"/>
                <w:szCs w:val="21"/>
                <w:highlight w:val="none"/>
              </w:rPr>
            </w:pPr>
          </w:p>
        </w:tc>
        <w:tc>
          <w:tcPr>
            <w:tcW w:w="945" w:type="dxa"/>
            <w:noWrap w:val="0"/>
            <w:vAlign w:val="center"/>
          </w:tcPr>
          <w:p>
            <w:pPr>
              <w:spacing w:line="320" w:lineRule="exact"/>
              <w:rPr>
                <w:rFonts w:ascii="宋体" w:hAnsi="宋体"/>
                <w:color w:val="auto"/>
                <w:szCs w:val="21"/>
                <w:highlight w:val="none"/>
              </w:rPr>
            </w:pPr>
          </w:p>
        </w:tc>
        <w:tc>
          <w:tcPr>
            <w:tcW w:w="735" w:type="dxa"/>
            <w:noWrap w:val="0"/>
            <w:vAlign w:val="center"/>
          </w:tcPr>
          <w:p>
            <w:pPr>
              <w:spacing w:line="320" w:lineRule="exact"/>
              <w:rPr>
                <w:rFonts w:ascii="宋体" w:hAnsi="宋体"/>
                <w:color w:val="auto"/>
                <w:szCs w:val="21"/>
                <w:highlight w:val="none"/>
              </w:rPr>
            </w:pPr>
          </w:p>
        </w:tc>
        <w:tc>
          <w:tcPr>
            <w:tcW w:w="1050" w:type="dxa"/>
            <w:noWrap w:val="0"/>
            <w:vAlign w:val="center"/>
          </w:tcPr>
          <w:p>
            <w:pPr>
              <w:spacing w:line="32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92" w:hRule="atLeast"/>
        </w:trPr>
        <w:tc>
          <w:tcPr>
            <w:tcW w:w="868" w:type="dxa"/>
            <w:noWrap w:val="0"/>
            <w:vAlign w:val="center"/>
          </w:tcPr>
          <w:p>
            <w:pPr>
              <w:spacing w:line="320" w:lineRule="exact"/>
              <w:rPr>
                <w:rFonts w:hint="eastAsia" w:ascii="宋体" w:hAnsi="宋体"/>
                <w:b/>
                <w:color w:val="auto"/>
                <w:highlight w:val="none"/>
              </w:rPr>
            </w:pPr>
          </w:p>
        </w:tc>
        <w:tc>
          <w:tcPr>
            <w:tcW w:w="735" w:type="dxa"/>
            <w:noWrap w:val="0"/>
            <w:vAlign w:val="center"/>
          </w:tcPr>
          <w:p>
            <w:pPr>
              <w:spacing w:line="320" w:lineRule="exact"/>
              <w:jc w:val="center"/>
              <w:rPr>
                <w:rFonts w:hint="eastAsia" w:ascii="宋体" w:hAnsi="宋体"/>
                <w:color w:val="auto"/>
                <w:szCs w:val="21"/>
                <w:highlight w:val="none"/>
              </w:rPr>
            </w:pPr>
          </w:p>
        </w:tc>
        <w:tc>
          <w:tcPr>
            <w:tcW w:w="1365" w:type="dxa"/>
            <w:noWrap w:val="0"/>
            <w:vAlign w:val="center"/>
          </w:tcPr>
          <w:p>
            <w:pPr>
              <w:spacing w:line="320" w:lineRule="exact"/>
              <w:rPr>
                <w:rFonts w:ascii="宋体" w:hAnsi="宋体"/>
                <w:color w:val="auto"/>
                <w:szCs w:val="21"/>
                <w:highlight w:val="none"/>
              </w:rPr>
            </w:pPr>
          </w:p>
        </w:tc>
        <w:tc>
          <w:tcPr>
            <w:tcW w:w="1155" w:type="dxa"/>
            <w:noWrap w:val="0"/>
            <w:vAlign w:val="center"/>
          </w:tcPr>
          <w:p>
            <w:pPr>
              <w:spacing w:line="320" w:lineRule="exact"/>
              <w:rPr>
                <w:rFonts w:ascii="宋体" w:hAnsi="宋体"/>
                <w:color w:val="auto"/>
                <w:szCs w:val="21"/>
                <w:highlight w:val="none"/>
              </w:rPr>
            </w:pPr>
          </w:p>
        </w:tc>
        <w:tc>
          <w:tcPr>
            <w:tcW w:w="945" w:type="dxa"/>
            <w:noWrap w:val="0"/>
            <w:vAlign w:val="center"/>
          </w:tcPr>
          <w:p>
            <w:pPr>
              <w:spacing w:line="320" w:lineRule="exact"/>
              <w:rPr>
                <w:rFonts w:ascii="宋体" w:hAnsi="宋体"/>
                <w:color w:val="auto"/>
                <w:szCs w:val="21"/>
                <w:highlight w:val="none"/>
              </w:rPr>
            </w:pPr>
          </w:p>
        </w:tc>
        <w:tc>
          <w:tcPr>
            <w:tcW w:w="630" w:type="dxa"/>
            <w:noWrap w:val="0"/>
            <w:vAlign w:val="center"/>
          </w:tcPr>
          <w:p>
            <w:pPr>
              <w:spacing w:line="320" w:lineRule="exact"/>
              <w:rPr>
                <w:rFonts w:ascii="宋体" w:hAnsi="宋体"/>
                <w:color w:val="auto"/>
                <w:szCs w:val="21"/>
                <w:highlight w:val="none"/>
              </w:rPr>
            </w:pPr>
          </w:p>
        </w:tc>
        <w:tc>
          <w:tcPr>
            <w:tcW w:w="945" w:type="dxa"/>
            <w:noWrap w:val="0"/>
            <w:vAlign w:val="center"/>
          </w:tcPr>
          <w:p>
            <w:pPr>
              <w:spacing w:line="320" w:lineRule="exact"/>
              <w:rPr>
                <w:rFonts w:ascii="宋体" w:hAnsi="宋体"/>
                <w:color w:val="auto"/>
                <w:szCs w:val="21"/>
                <w:highlight w:val="none"/>
              </w:rPr>
            </w:pPr>
          </w:p>
        </w:tc>
        <w:tc>
          <w:tcPr>
            <w:tcW w:w="735" w:type="dxa"/>
            <w:noWrap w:val="0"/>
            <w:vAlign w:val="center"/>
          </w:tcPr>
          <w:p>
            <w:pPr>
              <w:spacing w:line="320" w:lineRule="exact"/>
              <w:rPr>
                <w:rFonts w:ascii="宋体" w:hAnsi="宋体"/>
                <w:color w:val="auto"/>
                <w:szCs w:val="21"/>
                <w:highlight w:val="none"/>
              </w:rPr>
            </w:pPr>
          </w:p>
        </w:tc>
        <w:tc>
          <w:tcPr>
            <w:tcW w:w="1050" w:type="dxa"/>
            <w:noWrap w:val="0"/>
            <w:vAlign w:val="center"/>
          </w:tcPr>
          <w:p>
            <w:pPr>
              <w:spacing w:line="32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92" w:hRule="atLeast"/>
        </w:trPr>
        <w:tc>
          <w:tcPr>
            <w:tcW w:w="868" w:type="dxa"/>
            <w:noWrap w:val="0"/>
            <w:vAlign w:val="center"/>
          </w:tcPr>
          <w:p>
            <w:pPr>
              <w:spacing w:line="320" w:lineRule="exact"/>
              <w:rPr>
                <w:rFonts w:hint="eastAsia" w:ascii="宋体" w:hAnsi="宋体"/>
                <w:b/>
                <w:color w:val="auto"/>
                <w:highlight w:val="none"/>
              </w:rPr>
            </w:pPr>
          </w:p>
        </w:tc>
        <w:tc>
          <w:tcPr>
            <w:tcW w:w="735" w:type="dxa"/>
            <w:noWrap w:val="0"/>
            <w:vAlign w:val="center"/>
          </w:tcPr>
          <w:p>
            <w:pPr>
              <w:spacing w:line="320" w:lineRule="exact"/>
              <w:jc w:val="center"/>
              <w:rPr>
                <w:rFonts w:hint="eastAsia" w:ascii="宋体" w:hAnsi="宋体"/>
                <w:color w:val="auto"/>
                <w:szCs w:val="21"/>
                <w:highlight w:val="none"/>
              </w:rPr>
            </w:pPr>
          </w:p>
        </w:tc>
        <w:tc>
          <w:tcPr>
            <w:tcW w:w="1365" w:type="dxa"/>
            <w:noWrap w:val="0"/>
            <w:vAlign w:val="center"/>
          </w:tcPr>
          <w:p>
            <w:pPr>
              <w:spacing w:line="320" w:lineRule="exact"/>
              <w:rPr>
                <w:rFonts w:ascii="宋体" w:hAnsi="宋体"/>
                <w:color w:val="auto"/>
                <w:szCs w:val="21"/>
                <w:highlight w:val="none"/>
              </w:rPr>
            </w:pPr>
          </w:p>
        </w:tc>
        <w:tc>
          <w:tcPr>
            <w:tcW w:w="1155" w:type="dxa"/>
            <w:noWrap w:val="0"/>
            <w:vAlign w:val="center"/>
          </w:tcPr>
          <w:p>
            <w:pPr>
              <w:spacing w:line="320" w:lineRule="exact"/>
              <w:rPr>
                <w:rFonts w:ascii="宋体" w:hAnsi="宋体"/>
                <w:color w:val="auto"/>
                <w:szCs w:val="21"/>
                <w:highlight w:val="none"/>
              </w:rPr>
            </w:pPr>
          </w:p>
        </w:tc>
        <w:tc>
          <w:tcPr>
            <w:tcW w:w="945" w:type="dxa"/>
            <w:noWrap w:val="0"/>
            <w:vAlign w:val="center"/>
          </w:tcPr>
          <w:p>
            <w:pPr>
              <w:spacing w:line="320" w:lineRule="exact"/>
              <w:rPr>
                <w:rFonts w:ascii="宋体" w:hAnsi="宋体"/>
                <w:color w:val="auto"/>
                <w:szCs w:val="21"/>
                <w:highlight w:val="none"/>
              </w:rPr>
            </w:pPr>
          </w:p>
        </w:tc>
        <w:tc>
          <w:tcPr>
            <w:tcW w:w="630" w:type="dxa"/>
            <w:noWrap w:val="0"/>
            <w:vAlign w:val="center"/>
          </w:tcPr>
          <w:p>
            <w:pPr>
              <w:spacing w:line="320" w:lineRule="exact"/>
              <w:rPr>
                <w:rFonts w:ascii="宋体" w:hAnsi="宋体"/>
                <w:color w:val="auto"/>
                <w:szCs w:val="21"/>
                <w:highlight w:val="none"/>
              </w:rPr>
            </w:pPr>
          </w:p>
        </w:tc>
        <w:tc>
          <w:tcPr>
            <w:tcW w:w="945" w:type="dxa"/>
            <w:noWrap w:val="0"/>
            <w:vAlign w:val="center"/>
          </w:tcPr>
          <w:p>
            <w:pPr>
              <w:spacing w:line="320" w:lineRule="exact"/>
              <w:rPr>
                <w:rFonts w:ascii="宋体" w:hAnsi="宋体"/>
                <w:color w:val="auto"/>
                <w:szCs w:val="21"/>
                <w:highlight w:val="none"/>
              </w:rPr>
            </w:pPr>
          </w:p>
        </w:tc>
        <w:tc>
          <w:tcPr>
            <w:tcW w:w="735" w:type="dxa"/>
            <w:noWrap w:val="0"/>
            <w:vAlign w:val="center"/>
          </w:tcPr>
          <w:p>
            <w:pPr>
              <w:spacing w:line="320" w:lineRule="exact"/>
              <w:rPr>
                <w:rFonts w:ascii="宋体" w:hAnsi="宋体"/>
                <w:color w:val="auto"/>
                <w:szCs w:val="21"/>
                <w:highlight w:val="none"/>
              </w:rPr>
            </w:pPr>
          </w:p>
        </w:tc>
        <w:tc>
          <w:tcPr>
            <w:tcW w:w="1050" w:type="dxa"/>
            <w:noWrap w:val="0"/>
            <w:vAlign w:val="center"/>
          </w:tcPr>
          <w:p>
            <w:pPr>
              <w:spacing w:line="320" w:lineRule="exact"/>
              <w:rPr>
                <w:rFonts w:ascii="宋体" w:hAnsi="宋体"/>
                <w:color w:val="auto"/>
                <w:szCs w:val="21"/>
                <w:highlight w:val="none"/>
              </w:rPr>
            </w:pPr>
          </w:p>
        </w:tc>
      </w:tr>
    </w:tbl>
    <w:p>
      <w:pPr>
        <w:spacing w:line="380" w:lineRule="exact"/>
        <w:jc w:val="center"/>
        <w:rPr>
          <w:rFonts w:hint="eastAsia" w:ascii="宋体" w:hAnsi="宋体"/>
          <w:color w:val="auto"/>
          <w:sz w:val="32"/>
          <w:szCs w:val="32"/>
          <w:highlight w:val="none"/>
        </w:rPr>
      </w:pPr>
    </w:p>
    <w:p>
      <w:pPr>
        <w:rPr>
          <w:rFonts w:hint="eastAsia" w:ascii="宋体" w:hAnsi="宋体"/>
          <w:color w:val="auto"/>
          <w:szCs w:val="21"/>
          <w:highlight w:val="none"/>
          <w:u w:val="single"/>
        </w:rPr>
      </w:pPr>
      <w:r>
        <w:rPr>
          <w:rFonts w:hint="eastAsia" w:ascii="宋体" w:hAnsi="宋体"/>
          <w:color w:val="auto"/>
          <w:szCs w:val="21"/>
          <w:highlight w:val="none"/>
        </w:rPr>
        <w:t>投标人（全称并加盖公章）：</w:t>
      </w:r>
      <w:r>
        <w:rPr>
          <w:rFonts w:hint="eastAsia" w:ascii="宋体" w:hAnsi="宋体"/>
          <w:color w:val="auto"/>
          <w:szCs w:val="21"/>
          <w:highlight w:val="none"/>
          <w:u w:val="single"/>
        </w:rPr>
        <w:t xml:space="preserve">                     </w:t>
      </w:r>
      <w:r>
        <w:rPr>
          <w:rFonts w:hint="eastAsia" w:ascii="宋体" w:hAnsi="宋体"/>
          <w:color w:val="auto"/>
          <w:highlight w:val="none"/>
        </w:rPr>
        <w:t xml:space="preserve">  </w:t>
      </w:r>
    </w:p>
    <w:p>
      <w:pPr>
        <w:spacing w:line="380" w:lineRule="exact"/>
        <w:rPr>
          <w:rFonts w:hint="eastAsia" w:ascii="宋体" w:hAnsi="宋体"/>
          <w:b/>
          <w:color w:val="auto"/>
          <w:szCs w:val="21"/>
          <w:highlight w:val="none"/>
        </w:rPr>
      </w:pPr>
      <w:r>
        <w:rPr>
          <w:rFonts w:hint="eastAsia" w:ascii="宋体" w:hAnsi="宋体"/>
          <w:color w:val="auto"/>
          <w:szCs w:val="21"/>
          <w:highlight w:val="none"/>
        </w:rPr>
        <w:t xml:space="preserve">投标人代表签字： </w:t>
      </w:r>
      <w:r>
        <w:rPr>
          <w:rFonts w:hint="eastAsia" w:ascii="宋体" w:hAnsi="宋体"/>
          <w:color w:val="auto"/>
          <w:szCs w:val="21"/>
          <w:highlight w:val="none"/>
          <w:u w:val="single"/>
        </w:rPr>
        <w:t xml:space="preserve">                            </w:t>
      </w:r>
      <w:r>
        <w:rPr>
          <w:rFonts w:hint="eastAsia" w:ascii="宋体" w:hAnsi="宋体"/>
          <w:color w:val="auto"/>
          <w:highlight w:val="none"/>
        </w:rPr>
        <w:t xml:space="preserve">  </w:t>
      </w:r>
      <w:r>
        <w:rPr>
          <w:rFonts w:hint="eastAsia" w:ascii="宋体" w:hAnsi="宋体"/>
          <w:color w:val="auto"/>
          <w:szCs w:val="21"/>
          <w:highlight w:val="none"/>
        </w:rPr>
        <w:t xml:space="preserve">    </w:t>
      </w:r>
    </w:p>
    <w:p>
      <w:pPr>
        <w:spacing w:line="380" w:lineRule="exact"/>
        <w:rPr>
          <w:rFonts w:hint="eastAsia" w:ascii="宋体" w:hAnsi="宋体"/>
          <w:color w:val="auto"/>
          <w:szCs w:val="21"/>
          <w:highlight w:val="none"/>
          <w:u w:val="single"/>
        </w:rPr>
      </w:pPr>
    </w:p>
    <w:p>
      <w:pPr>
        <w:spacing w:line="380" w:lineRule="exact"/>
        <w:rPr>
          <w:rFonts w:hint="eastAsia" w:ascii="宋体" w:hAnsi="宋体"/>
          <w:color w:val="auto"/>
          <w:szCs w:val="21"/>
          <w:highlight w:val="none"/>
          <w:u w:val="single"/>
        </w:rPr>
      </w:pPr>
    </w:p>
    <w:p>
      <w:pPr>
        <w:spacing w:line="380" w:lineRule="exact"/>
        <w:rPr>
          <w:rFonts w:hint="eastAsia" w:ascii="宋体" w:hAnsi="宋体"/>
          <w:color w:val="auto"/>
          <w:szCs w:val="21"/>
          <w:highlight w:val="none"/>
          <w:u w:val="single"/>
        </w:rPr>
      </w:pPr>
    </w:p>
    <w:p>
      <w:pPr>
        <w:pStyle w:val="22"/>
        <w:jc w:val="left"/>
        <w:outlineLvl w:val="9"/>
        <w:rPr>
          <w:rFonts w:hAnsi="宋体"/>
          <w:color w:val="auto"/>
          <w:sz w:val="21"/>
          <w:szCs w:val="21"/>
          <w:highlight w:val="none"/>
        </w:rPr>
      </w:pPr>
    </w:p>
    <w:p>
      <w:pPr>
        <w:pStyle w:val="22"/>
        <w:jc w:val="left"/>
        <w:outlineLvl w:val="9"/>
        <w:rPr>
          <w:rFonts w:hAnsi="宋体"/>
          <w:color w:val="auto"/>
          <w:sz w:val="21"/>
          <w:szCs w:val="21"/>
          <w:highlight w:val="none"/>
        </w:rPr>
      </w:pPr>
      <w:r>
        <w:rPr>
          <w:rFonts w:hAnsi="宋体"/>
          <w:color w:val="auto"/>
          <w:sz w:val="21"/>
          <w:szCs w:val="21"/>
          <w:highlight w:val="none"/>
        </w:rPr>
        <w:br w:type="page"/>
      </w:r>
      <w:r>
        <w:rPr>
          <w:rFonts w:hAnsi="宋体"/>
          <w:color w:val="auto"/>
          <w:sz w:val="21"/>
          <w:szCs w:val="21"/>
          <w:highlight w:val="none"/>
        </w:rPr>
        <w:t xml:space="preserve"> </w:t>
      </w:r>
    </w:p>
    <w:p>
      <w:pPr>
        <w:pStyle w:val="22"/>
        <w:jc w:val="center"/>
        <w:rPr>
          <w:rFonts w:hAnsi="宋体"/>
          <w:b/>
          <w:color w:val="auto"/>
          <w:sz w:val="30"/>
          <w:szCs w:val="30"/>
          <w:highlight w:val="none"/>
        </w:rPr>
      </w:pPr>
      <w:bookmarkStart w:id="58" w:name="_Toc31362"/>
      <w:bookmarkStart w:id="59" w:name="_Toc13824"/>
      <w:bookmarkStart w:id="60" w:name="_Toc14820"/>
      <w:r>
        <w:rPr>
          <w:rFonts w:hAnsi="宋体"/>
          <w:b/>
          <w:color w:val="auto"/>
          <w:sz w:val="30"/>
          <w:szCs w:val="30"/>
          <w:highlight w:val="none"/>
        </w:rPr>
        <w:t>13-3、符合政府采购优惠政策相关文件(如有)</w:t>
      </w:r>
      <w:bookmarkEnd w:id="58"/>
      <w:bookmarkEnd w:id="59"/>
      <w:bookmarkEnd w:id="60"/>
    </w:p>
    <w:p>
      <w:pPr>
        <w:pStyle w:val="22"/>
        <w:jc w:val="center"/>
        <w:outlineLvl w:val="9"/>
        <w:rPr>
          <w:rFonts w:hAnsi="宋体"/>
          <w:b/>
          <w:color w:val="auto"/>
          <w:sz w:val="30"/>
          <w:szCs w:val="30"/>
          <w:highlight w:val="none"/>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19" w:type="dxa"/>
            <w:noWrap w:val="0"/>
            <w:vAlign w:val="top"/>
          </w:tcPr>
          <w:p>
            <w:pPr>
              <w:tabs>
                <w:tab w:val="left" w:pos="900"/>
              </w:tabs>
              <w:spacing w:line="520" w:lineRule="exact"/>
              <w:ind w:left="-1367" w:leftChars="-651" w:firstLine="1995" w:firstLineChars="950"/>
              <w:jc w:val="center"/>
              <w:rPr>
                <w:rFonts w:hint="eastAsia" w:ascii="宋体" w:hAnsi="宋体"/>
                <w:color w:val="auto"/>
                <w:szCs w:val="21"/>
                <w:highlight w:val="none"/>
              </w:rPr>
            </w:pPr>
          </w:p>
          <w:p>
            <w:pPr>
              <w:tabs>
                <w:tab w:val="left" w:pos="900"/>
              </w:tabs>
              <w:spacing w:line="520" w:lineRule="exact"/>
              <w:ind w:left="-1367" w:leftChars="-651" w:firstLine="1995" w:firstLineChars="950"/>
              <w:rPr>
                <w:rFonts w:hint="eastAsia" w:ascii="宋体" w:hAnsi="宋体"/>
                <w:color w:val="auto"/>
                <w:szCs w:val="21"/>
                <w:highlight w:val="none"/>
              </w:rPr>
            </w:pPr>
            <w:r>
              <w:rPr>
                <w:rFonts w:hint="eastAsia" w:ascii="宋体" w:hAnsi="宋体"/>
                <w:color w:val="auto"/>
                <w:szCs w:val="21"/>
                <w:highlight w:val="none"/>
              </w:rPr>
              <w:t>制作说明：</w:t>
            </w:r>
          </w:p>
          <w:p>
            <w:pPr>
              <w:spacing w:line="520" w:lineRule="exact"/>
              <w:ind w:firstLine="625" w:firstLineChars="298"/>
              <w:rPr>
                <w:rFonts w:hint="eastAsia" w:ascii="宋体" w:hAnsi="宋体"/>
                <w:color w:val="auto"/>
                <w:szCs w:val="21"/>
                <w:highlight w:val="none"/>
              </w:rPr>
            </w:pPr>
            <w:r>
              <w:rPr>
                <w:rFonts w:hint="eastAsia" w:ascii="宋体" w:hAnsi="宋体"/>
                <w:color w:val="auto"/>
                <w:szCs w:val="21"/>
                <w:highlight w:val="none"/>
              </w:rPr>
              <w:t>1.投标人有</w:t>
            </w:r>
            <w:r>
              <w:rPr>
                <w:rFonts w:ascii="宋体" w:hAnsi="宋体"/>
                <w:color w:val="auto"/>
                <w:szCs w:val="21"/>
                <w:highlight w:val="none"/>
              </w:rPr>
              <w:t>属于</w:t>
            </w:r>
            <w:r>
              <w:rPr>
                <w:rFonts w:hint="eastAsia" w:ascii="宋体" w:hAnsi="宋体"/>
                <w:color w:val="auto"/>
                <w:szCs w:val="21"/>
                <w:highlight w:val="none"/>
              </w:rPr>
              <w:t>政府采购优惠政策规定可以享受加分或价格扣除情形的须按下述要求制作并提交文件，否则不予加分或价格扣除。</w:t>
            </w:r>
          </w:p>
          <w:p>
            <w:pPr>
              <w:tabs>
                <w:tab w:val="left" w:pos="900"/>
              </w:tabs>
              <w:spacing w:line="520" w:lineRule="exact"/>
              <w:ind w:left="-1367" w:leftChars="-651" w:firstLine="1995" w:firstLineChars="950"/>
              <w:rPr>
                <w:rFonts w:hint="eastAsia" w:ascii="宋体" w:hAnsi="宋体"/>
                <w:color w:val="auto"/>
                <w:szCs w:val="21"/>
                <w:highlight w:val="none"/>
              </w:rPr>
            </w:pPr>
            <w:r>
              <w:rPr>
                <w:rFonts w:hint="eastAsia" w:ascii="宋体" w:hAnsi="宋体"/>
                <w:color w:val="auto"/>
                <w:szCs w:val="21"/>
                <w:highlight w:val="none"/>
              </w:rPr>
              <w:t>1.1 须按本附件格式制作并提交。</w:t>
            </w:r>
          </w:p>
          <w:p>
            <w:pPr>
              <w:spacing w:line="520" w:lineRule="exact"/>
              <w:ind w:firstLine="625" w:firstLineChars="298"/>
              <w:rPr>
                <w:rFonts w:hint="eastAsia" w:ascii="宋体" w:hAnsi="宋体"/>
                <w:color w:val="auto"/>
                <w:szCs w:val="21"/>
                <w:highlight w:val="none"/>
              </w:rPr>
            </w:pPr>
            <w:r>
              <w:rPr>
                <w:rFonts w:hint="eastAsia" w:ascii="宋体" w:hAnsi="宋体"/>
                <w:color w:val="auto"/>
                <w:szCs w:val="21"/>
                <w:highlight w:val="none"/>
              </w:rPr>
              <w:t>1.2 应详细填写产品明细表，产品明细表</w:t>
            </w:r>
            <w:r>
              <w:rPr>
                <w:rFonts w:ascii="宋体" w:hAnsi="宋体"/>
                <w:color w:val="auto"/>
                <w:szCs w:val="21"/>
                <w:highlight w:val="none"/>
              </w:rPr>
              <w:t>以合同包为单位，不同合同包请分</w:t>
            </w:r>
            <w:r>
              <w:rPr>
                <w:rFonts w:hint="eastAsia" w:ascii="宋体" w:hAnsi="宋体"/>
                <w:color w:val="auto"/>
                <w:szCs w:val="21"/>
                <w:highlight w:val="none"/>
              </w:rPr>
              <w:t>表制作</w:t>
            </w:r>
            <w:r>
              <w:rPr>
                <w:rFonts w:ascii="宋体" w:hAnsi="宋体"/>
                <w:color w:val="auto"/>
                <w:szCs w:val="21"/>
                <w:highlight w:val="none"/>
              </w:rPr>
              <w:t>，同一合同包请按照该合同包的品目号顺序分别填写。</w:t>
            </w:r>
          </w:p>
          <w:p>
            <w:pPr>
              <w:spacing w:line="520" w:lineRule="exact"/>
              <w:ind w:firstLine="625" w:firstLineChars="298"/>
              <w:rPr>
                <w:rFonts w:hint="eastAsia" w:ascii="宋体" w:hAnsi="宋体"/>
                <w:color w:val="auto"/>
                <w:szCs w:val="21"/>
                <w:highlight w:val="none"/>
              </w:rPr>
            </w:pPr>
            <w:r>
              <w:rPr>
                <w:rFonts w:hint="eastAsia" w:ascii="宋体" w:hAnsi="宋体"/>
                <w:color w:val="auto"/>
                <w:szCs w:val="21"/>
                <w:highlight w:val="none"/>
              </w:rPr>
              <w:t>1.3按招标文件评分标准中的要求</w:t>
            </w:r>
            <w:r>
              <w:rPr>
                <w:rFonts w:ascii="宋体" w:hAnsi="宋体"/>
                <w:color w:val="auto"/>
                <w:szCs w:val="21"/>
                <w:highlight w:val="none"/>
              </w:rPr>
              <w:t>提供</w:t>
            </w:r>
            <w:r>
              <w:rPr>
                <w:rFonts w:hint="eastAsia" w:ascii="宋体" w:hAnsi="宋体"/>
                <w:color w:val="auto"/>
                <w:szCs w:val="21"/>
                <w:highlight w:val="none"/>
              </w:rPr>
              <w:t>符合政府采购优惠政策情形相关</w:t>
            </w:r>
            <w:r>
              <w:rPr>
                <w:rFonts w:ascii="宋体" w:hAnsi="宋体"/>
                <w:color w:val="auto"/>
                <w:szCs w:val="21"/>
                <w:highlight w:val="none"/>
              </w:rPr>
              <w:t>证明</w:t>
            </w:r>
            <w:r>
              <w:rPr>
                <w:rFonts w:hint="eastAsia" w:ascii="宋体" w:hAnsi="宋体"/>
                <w:color w:val="auto"/>
                <w:szCs w:val="21"/>
                <w:highlight w:val="none"/>
              </w:rPr>
              <w:t>材</w:t>
            </w:r>
            <w:r>
              <w:rPr>
                <w:rFonts w:ascii="宋体" w:hAnsi="宋体"/>
                <w:color w:val="auto"/>
                <w:szCs w:val="21"/>
                <w:highlight w:val="none"/>
              </w:rPr>
              <w:t>料，证明</w:t>
            </w:r>
            <w:r>
              <w:rPr>
                <w:rFonts w:hint="eastAsia" w:ascii="宋体" w:hAnsi="宋体"/>
                <w:color w:val="auto"/>
                <w:szCs w:val="21"/>
                <w:highlight w:val="none"/>
              </w:rPr>
              <w:t>材</w:t>
            </w:r>
            <w:r>
              <w:rPr>
                <w:rFonts w:ascii="宋体" w:hAnsi="宋体"/>
                <w:color w:val="auto"/>
                <w:szCs w:val="21"/>
                <w:highlight w:val="none"/>
              </w:rPr>
              <w:t>料务必与</w:t>
            </w:r>
            <w:r>
              <w:rPr>
                <w:rFonts w:hint="eastAsia" w:ascii="宋体" w:hAnsi="宋体"/>
                <w:color w:val="auto"/>
                <w:szCs w:val="21"/>
                <w:highlight w:val="none"/>
              </w:rPr>
              <w:t>所填报的产品明细表内容（如品牌、型号、规格、证书号等）</w:t>
            </w:r>
            <w:r>
              <w:rPr>
                <w:rFonts w:ascii="宋体" w:hAnsi="宋体"/>
                <w:color w:val="auto"/>
                <w:szCs w:val="21"/>
                <w:highlight w:val="none"/>
              </w:rPr>
              <w:t>一致，</w:t>
            </w:r>
            <w:r>
              <w:rPr>
                <w:rFonts w:hint="eastAsia" w:ascii="宋体" w:hAnsi="宋体"/>
                <w:color w:val="auto"/>
                <w:szCs w:val="21"/>
                <w:highlight w:val="none"/>
              </w:rPr>
              <w:t>否则不予加分或价格扣除</w:t>
            </w:r>
            <w:r>
              <w:rPr>
                <w:rFonts w:ascii="宋体" w:hAnsi="宋体"/>
                <w:color w:val="auto"/>
                <w:szCs w:val="21"/>
                <w:highlight w:val="none"/>
              </w:rPr>
              <w:t>。</w:t>
            </w:r>
          </w:p>
          <w:p>
            <w:pPr>
              <w:spacing w:line="520" w:lineRule="exact"/>
              <w:ind w:firstLine="625" w:firstLineChars="298"/>
              <w:rPr>
                <w:rFonts w:hint="eastAsia" w:ascii="宋体" w:hAnsi="宋体"/>
                <w:color w:val="auto"/>
                <w:szCs w:val="21"/>
                <w:highlight w:val="none"/>
              </w:rPr>
            </w:pPr>
            <w:r>
              <w:rPr>
                <w:rFonts w:hint="eastAsia" w:ascii="宋体" w:hAnsi="宋体"/>
                <w:color w:val="auto"/>
                <w:szCs w:val="21"/>
                <w:highlight w:val="none"/>
              </w:rPr>
              <w:t>1.4</w:t>
            </w:r>
            <w:r>
              <w:rPr>
                <w:rFonts w:ascii="宋体" w:hAnsi="宋体"/>
                <w:color w:val="auto"/>
                <w:szCs w:val="21"/>
                <w:highlight w:val="none"/>
              </w:rPr>
              <w:t>证明</w:t>
            </w:r>
            <w:r>
              <w:rPr>
                <w:rFonts w:hint="eastAsia" w:ascii="宋体" w:hAnsi="宋体"/>
                <w:color w:val="auto"/>
                <w:szCs w:val="21"/>
                <w:highlight w:val="none"/>
              </w:rPr>
              <w:t>材</w:t>
            </w:r>
            <w:r>
              <w:rPr>
                <w:rFonts w:ascii="宋体" w:hAnsi="宋体"/>
                <w:color w:val="auto"/>
                <w:szCs w:val="21"/>
                <w:highlight w:val="none"/>
              </w:rPr>
              <w:t>料</w:t>
            </w:r>
            <w:r>
              <w:rPr>
                <w:rFonts w:hint="eastAsia" w:ascii="宋体" w:hAnsi="宋体"/>
                <w:color w:val="auto"/>
                <w:szCs w:val="21"/>
                <w:highlight w:val="none"/>
              </w:rPr>
              <w:t>在相对应处做出标记后按产品明细表中品目号排序提交，</w:t>
            </w:r>
            <w:r>
              <w:rPr>
                <w:rFonts w:ascii="宋体" w:hAnsi="宋体"/>
                <w:color w:val="auto"/>
                <w:szCs w:val="21"/>
                <w:highlight w:val="none"/>
              </w:rPr>
              <w:t>证明</w:t>
            </w:r>
            <w:r>
              <w:rPr>
                <w:rFonts w:hint="eastAsia" w:ascii="宋体" w:hAnsi="宋体"/>
                <w:color w:val="auto"/>
                <w:szCs w:val="21"/>
                <w:highlight w:val="none"/>
              </w:rPr>
              <w:t>材</w:t>
            </w:r>
            <w:r>
              <w:rPr>
                <w:rFonts w:ascii="宋体" w:hAnsi="宋体"/>
                <w:color w:val="auto"/>
                <w:szCs w:val="21"/>
                <w:highlight w:val="none"/>
              </w:rPr>
              <w:t>料</w:t>
            </w:r>
            <w:r>
              <w:rPr>
                <w:rFonts w:hint="eastAsia" w:ascii="宋体" w:hAnsi="宋体"/>
                <w:color w:val="auto"/>
                <w:szCs w:val="21"/>
                <w:highlight w:val="none"/>
              </w:rPr>
              <w:t>附在所佐证的产品明细表后。</w:t>
            </w:r>
          </w:p>
          <w:p>
            <w:pPr>
              <w:pStyle w:val="22"/>
              <w:spacing w:line="520" w:lineRule="exact"/>
              <w:ind w:firstLine="630" w:firstLineChars="300"/>
              <w:rPr>
                <w:rFonts w:hAnsi="宋体"/>
                <w:color w:val="auto"/>
                <w:sz w:val="21"/>
                <w:szCs w:val="21"/>
                <w:highlight w:val="none"/>
              </w:rPr>
            </w:pPr>
            <w:bookmarkStart w:id="61" w:name="_Toc5791"/>
            <w:bookmarkStart w:id="62" w:name="_Toc14244"/>
            <w:bookmarkStart w:id="63" w:name="_Toc22556"/>
            <w:r>
              <w:rPr>
                <w:rFonts w:hAnsi="宋体"/>
                <w:color w:val="auto"/>
                <w:sz w:val="21"/>
                <w:szCs w:val="21"/>
                <w:highlight w:val="none"/>
              </w:rPr>
              <w:t>2.无此情形的无须提交本附件内容。</w:t>
            </w:r>
            <w:bookmarkEnd w:id="61"/>
            <w:bookmarkEnd w:id="62"/>
            <w:bookmarkEnd w:id="63"/>
          </w:p>
          <w:p>
            <w:pPr>
              <w:pStyle w:val="22"/>
              <w:spacing w:line="520" w:lineRule="exact"/>
              <w:ind w:firstLine="630" w:firstLineChars="300"/>
              <w:outlineLvl w:val="9"/>
              <w:rPr>
                <w:rFonts w:hAnsi="宋体"/>
                <w:color w:val="auto"/>
                <w:sz w:val="21"/>
                <w:szCs w:val="21"/>
                <w:highlight w:val="none"/>
              </w:rPr>
            </w:pPr>
          </w:p>
          <w:p>
            <w:pPr>
              <w:pStyle w:val="22"/>
              <w:jc w:val="center"/>
              <w:outlineLvl w:val="9"/>
              <w:rPr>
                <w:rFonts w:hAnsi="宋体"/>
                <w:b/>
                <w:color w:val="auto"/>
                <w:sz w:val="30"/>
                <w:szCs w:val="30"/>
                <w:highlight w:val="none"/>
              </w:rPr>
            </w:pPr>
          </w:p>
        </w:tc>
      </w:tr>
    </w:tbl>
    <w:p>
      <w:pPr>
        <w:spacing w:line="320" w:lineRule="exact"/>
        <w:jc w:val="center"/>
        <w:rPr>
          <w:rFonts w:hint="eastAsia" w:ascii="宋体" w:hAnsi="宋体"/>
          <w:b/>
          <w:color w:val="auto"/>
          <w:sz w:val="30"/>
          <w:szCs w:val="30"/>
          <w:highlight w:val="none"/>
        </w:rPr>
      </w:pPr>
    </w:p>
    <w:p>
      <w:pPr>
        <w:spacing w:line="320" w:lineRule="exact"/>
        <w:jc w:val="center"/>
        <w:rPr>
          <w:rFonts w:hint="eastAsia" w:ascii="宋体" w:hAnsi="宋体"/>
          <w:b/>
          <w:color w:val="auto"/>
          <w:sz w:val="30"/>
          <w:szCs w:val="30"/>
          <w:highlight w:val="none"/>
        </w:rPr>
      </w:pPr>
    </w:p>
    <w:p>
      <w:pPr>
        <w:spacing w:line="320" w:lineRule="exact"/>
        <w:jc w:val="center"/>
        <w:rPr>
          <w:rFonts w:hint="eastAsia" w:ascii="宋体" w:hAnsi="宋体"/>
          <w:b/>
          <w:color w:val="auto"/>
          <w:sz w:val="30"/>
          <w:szCs w:val="30"/>
          <w:highlight w:val="none"/>
        </w:rPr>
      </w:pPr>
    </w:p>
    <w:p>
      <w:pPr>
        <w:spacing w:line="320" w:lineRule="exact"/>
        <w:jc w:val="center"/>
        <w:rPr>
          <w:rFonts w:hint="eastAsia" w:ascii="宋体" w:hAnsi="宋体"/>
          <w:b/>
          <w:color w:val="auto"/>
          <w:sz w:val="30"/>
          <w:szCs w:val="30"/>
          <w:highlight w:val="none"/>
        </w:rPr>
      </w:pPr>
    </w:p>
    <w:p>
      <w:pPr>
        <w:spacing w:line="320" w:lineRule="exact"/>
        <w:jc w:val="center"/>
        <w:rPr>
          <w:rFonts w:hint="eastAsia" w:ascii="宋体" w:hAnsi="宋体"/>
          <w:b/>
          <w:color w:val="auto"/>
          <w:sz w:val="30"/>
          <w:szCs w:val="30"/>
          <w:highlight w:val="none"/>
        </w:rPr>
      </w:pPr>
    </w:p>
    <w:p>
      <w:pPr>
        <w:spacing w:line="320" w:lineRule="exact"/>
        <w:jc w:val="center"/>
        <w:rPr>
          <w:rFonts w:hint="eastAsia" w:ascii="宋体" w:hAnsi="宋体"/>
          <w:b/>
          <w:color w:val="auto"/>
          <w:sz w:val="30"/>
          <w:szCs w:val="30"/>
          <w:highlight w:val="none"/>
        </w:rPr>
      </w:pPr>
    </w:p>
    <w:p>
      <w:pPr>
        <w:spacing w:line="320" w:lineRule="exact"/>
        <w:jc w:val="center"/>
        <w:rPr>
          <w:rFonts w:hint="eastAsia" w:ascii="宋体" w:hAnsi="宋体"/>
          <w:b/>
          <w:color w:val="auto"/>
          <w:sz w:val="30"/>
          <w:szCs w:val="30"/>
          <w:highlight w:val="none"/>
        </w:rPr>
      </w:pPr>
    </w:p>
    <w:p>
      <w:pPr>
        <w:spacing w:line="320" w:lineRule="exact"/>
        <w:jc w:val="center"/>
        <w:rPr>
          <w:rFonts w:hint="eastAsia" w:ascii="宋体" w:hAnsi="宋体"/>
          <w:b/>
          <w:color w:val="auto"/>
          <w:sz w:val="30"/>
          <w:szCs w:val="30"/>
          <w:highlight w:val="none"/>
        </w:rPr>
      </w:pPr>
    </w:p>
    <w:p>
      <w:pPr>
        <w:spacing w:line="320" w:lineRule="exact"/>
        <w:jc w:val="center"/>
        <w:rPr>
          <w:rFonts w:hint="eastAsia" w:ascii="宋体" w:hAnsi="宋体"/>
          <w:b/>
          <w:color w:val="auto"/>
          <w:sz w:val="30"/>
          <w:szCs w:val="30"/>
          <w:highlight w:val="none"/>
        </w:rPr>
      </w:pPr>
    </w:p>
    <w:p>
      <w:pPr>
        <w:spacing w:line="320" w:lineRule="exact"/>
        <w:jc w:val="center"/>
        <w:rPr>
          <w:rFonts w:hint="eastAsia" w:ascii="宋体" w:hAnsi="宋体"/>
          <w:b/>
          <w:color w:val="auto"/>
          <w:sz w:val="30"/>
          <w:szCs w:val="30"/>
          <w:highlight w:val="none"/>
        </w:rPr>
      </w:pPr>
    </w:p>
    <w:p>
      <w:pPr>
        <w:spacing w:line="320" w:lineRule="exact"/>
        <w:jc w:val="center"/>
        <w:rPr>
          <w:rFonts w:hint="eastAsia" w:ascii="宋体" w:hAnsi="宋体"/>
          <w:b/>
          <w:color w:val="auto"/>
          <w:sz w:val="30"/>
          <w:szCs w:val="30"/>
          <w:highlight w:val="none"/>
        </w:rPr>
      </w:pPr>
    </w:p>
    <w:p>
      <w:pPr>
        <w:spacing w:line="320" w:lineRule="exact"/>
        <w:jc w:val="center"/>
        <w:rPr>
          <w:rFonts w:hint="eastAsia" w:ascii="宋体" w:hAnsi="宋体"/>
          <w:b/>
          <w:color w:val="auto"/>
          <w:sz w:val="30"/>
          <w:szCs w:val="30"/>
          <w:highlight w:val="none"/>
        </w:rPr>
      </w:pPr>
    </w:p>
    <w:p>
      <w:pPr>
        <w:spacing w:line="320" w:lineRule="exact"/>
        <w:jc w:val="center"/>
        <w:rPr>
          <w:rFonts w:hint="eastAsia" w:ascii="宋体" w:hAnsi="宋体"/>
          <w:b/>
          <w:color w:val="auto"/>
          <w:sz w:val="30"/>
          <w:szCs w:val="30"/>
          <w:highlight w:val="none"/>
        </w:rPr>
      </w:pPr>
    </w:p>
    <w:p>
      <w:pPr>
        <w:spacing w:line="320" w:lineRule="exact"/>
        <w:jc w:val="center"/>
        <w:rPr>
          <w:rFonts w:hint="eastAsia" w:ascii="宋体" w:hAnsi="宋体"/>
          <w:b/>
          <w:color w:val="auto"/>
          <w:sz w:val="30"/>
          <w:szCs w:val="30"/>
          <w:highlight w:val="none"/>
        </w:rPr>
      </w:pPr>
      <w:r>
        <w:rPr>
          <w:rFonts w:hint="eastAsia" w:ascii="宋体" w:hAnsi="宋体"/>
          <w:b/>
          <w:color w:val="auto"/>
          <w:sz w:val="30"/>
          <w:szCs w:val="30"/>
          <w:highlight w:val="none"/>
        </w:rPr>
        <w:t xml:space="preserve"> </w:t>
      </w:r>
    </w:p>
    <w:p>
      <w:pPr>
        <w:spacing w:line="320" w:lineRule="exact"/>
        <w:jc w:val="center"/>
        <w:rPr>
          <w:rFonts w:hint="eastAsia" w:ascii="宋体" w:hAnsi="宋体"/>
          <w:b/>
          <w:color w:val="auto"/>
          <w:sz w:val="30"/>
          <w:szCs w:val="30"/>
          <w:highlight w:val="none"/>
        </w:rPr>
      </w:pPr>
      <w:r>
        <w:rPr>
          <w:rFonts w:hint="eastAsia" w:ascii="宋体" w:hAnsi="宋体"/>
          <w:b/>
          <w:color w:val="auto"/>
          <w:sz w:val="30"/>
          <w:szCs w:val="30"/>
          <w:highlight w:val="none"/>
        </w:rPr>
        <w:t xml:space="preserve"> </w:t>
      </w:r>
    </w:p>
    <w:p>
      <w:pPr>
        <w:rPr>
          <w:rFonts w:hint="eastAsia" w:ascii="宋体" w:hAnsi="宋体"/>
          <w:b/>
          <w:color w:val="auto"/>
          <w:sz w:val="30"/>
          <w:szCs w:val="30"/>
          <w:highlight w:val="none"/>
        </w:rPr>
        <w:sectPr>
          <w:pgSz w:w="11907" w:h="16840"/>
          <w:pgMar w:top="1440" w:right="1752" w:bottom="1440" w:left="1752" w:header="851" w:footer="992" w:gutter="0"/>
          <w:pgNumType w:fmt="decimal"/>
          <w:cols w:space="720" w:num="1"/>
          <w:titlePg/>
          <w:docGrid w:linePitch="323" w:charSpace="-2"/>
        </w:sectPr>
      </w:pPr>
    </w:p>
    <w:p>
      <w:pPr>
        <w:pStyle w:val="22"/>
        <w:spacing w:line="400" w:lineRule="exact"/>
        <w:jc w:val="center"/>
        <w:rPr>
          <w:rFonts w:hAnsi="宋体"/>
          <w:b/>
          <w:color w:val="auto"/>
          <w:sz w:val="30"/>
          <w:szCs w:val="30"/>
          <w:highlight w:val="none"/>
        </w:rPr>
      </w:pPr>
      <w:bookmarkStart w:id="64" w:name="_Toc7259"/>
      <w:bookmarkStart w:id="65" w:name="_Toc26844"/>
      <w:bookmarkStart w:id="66" w:name="_Toc22736"/>
      <w:r>
        <w:rPr>
          <w:rFonts w:hAnsi="宋体"/>
          <w:b/>
          <w:color w:val="auto"/>
          <w:highlight w:val="none"/>
        </w:rPr>
        <w:t>13-3-1、</w:t>
      </w:r>
      <w:r>
        <w:rPr>
          <w:rFonts w:hAnsi="宋体"/>
          <w:b/>
          <w:color w:val="auto"/>
          <w:sz w:val="30"/>
          <w:szCs w:val="30"/>
          <w:highlight w:val="none"/>
        </w:rPr>
        <w:t>节能、环境标志产品相关材料</w:t>
      </w:r>
      <w:bookmarkEnd w:id="64"/>
      <w:bookmarkEnd w:id="65"/>
      <w:bookmarkEnd w:id="66"/>
    </w:p>
    <w:p>
      <w:pPr>
        <w:pStyle w:val="22"/>
        <w:jc w:val="center"/>
        <w:outlineLvl w:val="9"/>
        <w:rPr>
          <w:rFonts w:hAnsi="宋体"/>
          <w:b/>
          <w:color w:val="auto"/>
          <w:sz w:val="30"/>
          <w:szCs w:val="30"/>
          <w:highlight w:val="none"/>
        </w:rPr>
      </w:pPr>
    </w:p>
    <w:p>
      <w:pPr>
        <w:pStyle w:val="22"/>
        <w:jc w:val="center"/>
        <w:rPr>
          <w:rFonts w:hAnsi="宋体"/>
          <w:b/>
          <w:color w:val="auto"/>
          <w:szCs w:val="21"/>
          <w:highlight w:val="none"/>
        </w:rPr>
      </w:pPr>
      <w:bookmarkStart w:id="67" w:name="_Toc20624"/>
      <w:bookmarkStart w:id="68" w:name="_Toc14001"/>
      <w:bookmarkStart w:id="69" w:name="_Toc6302"/>
      <w:r>
        <w:rPr>
          <w:rFonts w:hAnsi="宋体"/>
          <w:b/>
          <w:color w:val="auto"/>
          <w:highlight w:val="none"/>
        </w:rPr>
        <w:t>节能（非强制类）、环境标志产品明细表</w:t>
      </w:r>
      <w:bookmarkEnd w:id="67"/>
      <w:bookmarkEnd w:id="68"/>
      <w:bookmarkEnd w:id="69"/>
    </w:p>
    <w:p>
      <w:pPr>
        <w:pStyle w:val="22"/>
        <w:jc w:val="center"/>
        <w:rPr>
          <w:rFonts w:hAnsi="宋体"/>
          <w:b/>
          <w:color w:val="auto"/>
          <w:sz w:val="21"/>
          <w:szCs w:val="21"/>
          <w:highlight w:val="none"/>
        </w:rPr>
      </w:pPr>
      <w:bookmarkStart w:id="70" w:name="_Toc32208"/>
      <w:bookmarkStart w:id="71" w:name="_Toc26720"/>
      <w:bookmarkStart w:id="72" w:name="_Toc30474"/>
      <w:r>
        <w:rPr>
          <w:rFonts w:hAnsi="宋体"/>
          <w:b/>
          <w:color w:val="auto"/>
          <w:sz w:val="21"/>
          <w:szCs w:val="21"/>
          <w:highlight w:val="none"/>
        </w:rPr>
        <w:t>（合同包 ____）</w:t>
      </w:r>
      <w:bookmarkEnd w:id="70"/>
      <w:bookmarkEnd w:id="71"/>
      <w:bookmarkEnd w:id="72"/>
    </w:p>
    <w:p>
      <w:pPr>
        <w:spacing w:line="300" w:lineRule="exact"/>
        <w:rPr>
          <w:rFonts w:hint="eastAsia" w:ascii="宋体" w:hAnsi="宋体"/>
          <w:color w:val="auto"/>
          <w:szCs w:val="21"/>
          <w:highlight w:val="none"/>
        </w:rPr>
      </w:pPr>
      <w:r>
        <w:rPr>
          <w:rFonts w:hint="eastAsia" w:ascii="宋体" w:hAnsi="宋体"/>
          <w:color w:val="auto"/>
          <w:szCs w:val="21"/>
          <w:highlight w:val="none"/>
        </w:rPr>
        <w:t>投标人（全称并加盖公章）：                              项目编号：                       货币单位： 元</w:t>
      </w:r>
    </w:p>
    <w:tbl>
      <w:tblPr>
        <w:tblStyle w:val="14"/>
        <w:tblpPr w:leftFromText="180" w:rightFromText="180" w:vertAnchor="text" w:horzAnchor="margin" w:tblpY="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767"/>
        <w:gridCol w:w="1590"/>
        <w:gridCol w:w="840"/>
        <w:gridCol w:w="840"/>
        <w:gridCol w:w="1260"/>
        <w:gridCol w:w="1260"/>
        <w:gridCol w:w="1680"/>
        <w:gridCol w:w="199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8" w:type="dxa"/>
            <w:noWrap w:val="0"/>
            <w:vAlign w:val="top"/>
          </w:tcPr>
          <w:p>
            <w:pPr>
              <w:jc w:val="center"/>
              <w:rPr>
                <w:rFonts w:hint="eastAsia" w:ascii="宋体" w:hAnsi="宋体"/>
                <w:color w:val="auto"/>
                <w:szCs w:val="21"/>
                <w:highlight w:val="none"/>
              </w:rPr>
            </w:pPr>
            <w:r>
              <w:rPr>
                <w:rFonts w:hint="eastAsia" w:ascii="宋体" w:hAnsi="宋体"/>
                <w:color w:val="auto"/>
                <w:szCs w:val="21"/>
                <w:highlight w:val="none"/>
              </w:rPr>
              <w:t>1</w:t>
            </w:r>
          </w:p>
        </w:tc>
        <w:tc>
          <w:tcPr>
            <w:tcW w:w="1767" w:type="dxa"/>
            <w:noWrap w:val="0"/>
            <w:vAlign w:val="center"/>
          </w:tcPr>
          <w:p>
            <w:pPr>
              <w:ind w:firstLine="210" w:firstLineChars="100"/>
              <w:jc w:val="center"/>
              <w:rPr>
                <w:rFonts w:hint="eastAsia" w:ascii="宋体" w:hAnsi="宋体"/>
                <w:color w:val="auto"/>
                <w:szCs w:val="21"/>
                <w:highlight w:val="none"/>
              </w:rPr>
            </w:pPr>
            <w:r>
              <w:rPr>
                <w:rFonts w:hint="eastAsia" w:ascii="宋体" w:hAnsi="宋体"/>
                <w:color w:val="auto"/>
                <w:szCs w:val="21"/>
                <w:highlight w:val="none"/>
              </w:rPr>
              <w:t>2</w:t>
            </w:r>
          </w:p>
        </w:tc>
        <w:tc>
          <w:tcPr>
            <w:tcW w:w="1590" w:type="dxa"/>
            <w:noWrap w:val="0"/>
            <w:vAlign w:val="center"/>
          </w:tcPr>
          <w:p>
            <w:pPr>
              <w:ind w:firstLine="210" w:firstLineChars="100"/>
              <w:jc w:val="center"/>
              <w:rPr>
                <w:rFonts w:hint="eastAsia" w:ascii="宋体" w:hAnsi="宋体"/>
                <w:color w:val="auto"/>
                <w:szCs w:val="21"/>
                <w:highlight w:val="none"/>
              </w:rPr>
            </w:pPr>
            <w:r>
              <w:rPr>
                <w:rFonts w:hint="eastAsia" w:ascii="宋体" w:hAnsi="宋体"/>
                <w:color w:val="auto"/>
                <w:szCs w:val="21"/>
                <w:highlight w:val="none"/>
              </w:rPr>
              <w:t>3</w:t>
            </w:r>
          </w:p>
        </w:tc>
        <w:tc>
          <w:tcPr>
            <w:tcW w:w="840" w:type="dxa"/>
            <w:noWrap w:val="0"/>
            <w:vAlign w:val="center"/>
          </w:tcPr>
          <w:p>
            <w:pPr>
              <w:ind w:firstLine="105" w:firstLineChars="50"/>
              <w:jc w:val="center"/>
              <w:rPr>
                <w:rFonts w:hint="eastAsia" w:ascii="宋体" w:hAnsi="宋体"/>
                <w:color w:val="auto"/>
                <w:szCs w:val="21"/>
                <w:highlight w:val="none"/>
              </w:rPr>
            </w:pPr>
            <w:r>
              <w:rPr>
                <w:rFonts w:hint="eastAsia" w:ascii="宋体" w:hAnsi="宋体"/>
                <w:color w:val="auto"/>
                <w:szCs w:val="21"/>
                <w:highlight w:val="none"/>
              </w:rPr>
              <w:t>4</w:t>
            </w:r>
          </w:p>
        </w:tc>
        <w:tc>
          <w:tcPr>
            <w:tcW w:w="840"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5</w:t>
            </w:r>
          </w:p>
        </w:tc>
        <w:tc>
          <w:tcPr>
            <w:tcW w:w="1260" w:type="dxa"/>
            <w:noWrap w:val="0"/>
            <w:vAlign w:val="top"/>
          </w:tcPr>
          <w:p>
            <w:pPr>
              <w:jc w:val="center"/>
              <w:rPr>
                <w:rFonts w:hint="eastAsia" w:ascii="宋体" w:hAnsi="宋体"/>
                <w:color w:val="auto"/>
                <w:szCs w:val="21"/>
                <w:highlight w:val="none"/>
              </w:rPr>
            </w:pPr>
            <w:r>
              <w:rPr>
                <w:rFonts w:hint="eastAsia" w:ascii="宋体" w:hAnsi="宋体"/>
                <w:color w:val="auto"/>
                <w:szCs w:val="21"/>
                <w:highlight w:val="none"/>
              </w:rPr>
              <w:t>6</w:t>
            </w:r>
          </w:p>
        </w:tc>
        <w:tc>
          <w:tcPr>
            <w:tcW w:w="1260"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7</w:t>
            </w:r>
          </w:p>
        </w:tc>
        <w:tc>
          <w:tcPr>
            <w:tcW w:w="1680" w:type="dxa"/>
            <w:noWrap w:val="0"/>
            <w:vAlign w:val="top"/>
          </w:tcPr>
          <w:p>
            <w:pPr>
              <w:jc w:val="center"/>
              <w:rPr>
                <w:rFonts w:hint="eastAsia" w:ascii="宋体" w:hAnsi="宋体"/>
                <w:color w:val="auto"/>
                <w:szCs w:val="21"/>
                <w:highlight w:val="none"/>
              </w:rPr>
            </w:pPr>
            <w:r>
              <w:rPr>
                <w:rFonts w:hint="eastAsia" w:ascii="宋体" w:hAnsi="宋体"/>
                <w:color w:val="auto"/>
                <w:szCs w:val="21"/>
                <w:highlight w:val="none"/>
              </w:rPr>
              <w:t>8</w:t>
            </w:r>
          </w:p>
        </w:tc>
        <w:tc>
          <w:tcPr>
            <w:tcW w:w="1995" w:type="dxa"/>
            <w:noWrap w:val="0"/>
            <w:vAlign w:val="top"/>
          </w:tcPr>
          <w:p>
            <w:pPr>
              <w:jc w:val="center"/>
              <w:rPr>
                <w:rFonts w:hint="eastAsia" w:ascii="宋体" w:hAnsi="宋体"/>
                <w:color w:val="auto"/>
                <w:szCs w:val="21"/>
                <w:highlight w:val="none"/>
              </w:rPr>
            </w:pPr>
            <w:r>
              <w:rPr>
                <w:rFonts w:hint="eastAsia" w:ascii="宋体" w:hAnsi="宋体"/>
                <w:color w:val="auto"/>
                <w:szCs w:val="21"/>
                <w:highlight w:val="none"/>
              </w:rPr>
              <w:t>9</w:t>
            </w:r>
          </w:p>
        </w:tc>
        <w:tc>
          <w:tcPr>
            <w:tcW w:w="1260" w:type="dxa"/>
            <w:noWrap w:val="0"/>
            <w:vAlign w:val="top"/>
          </w:tcPr>
          <w:p>
            <w:pPr>
              <w:jc w:val="center"/>
              <w:rPr>
                <w:rFonts w:hint="eastAsia" w:ascii="宋体" w:hAnsi="宋体"/>
                <w:color w:val="auto"/>
                <w:szCs w:val="21"/>
                <w:highlight w:val="none"/>
              </w:rPr>
            </w:pPr>
            <w:r>
              <w:rPr>
                <w:rFonts w:hint="eastAsia" w:ascii="宋体" w:hAnsi="宋体"/>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8" w:type="dxa"/>
            <w:noWrap w:val="0"/>
            <w:vAlign w:val="center"/>
          </w:tcPr>
          <w:p>
            <w:pPr>
              <w:spacing w:line="240" w:lineRule="exact"/>
              <w:rPr>
                <w:rFonts w:hint="eastAsia" w:ascii="宋体" w:hAnsi="宋体"/>
                <w:b/>
                <w:color w:val="auto"/>
                <w:sz w:val="18"/>
                <w:szCs w:val="18"/>
                <w:highlight w:val="none"/>
              </w:rPr>
            </w:pPr>
            <w:r>
              <w:rPr>
                <w:rFonts w:hint="eastAsia" w:ascii="宋体" w:hAnsi="宋体"/>
                <w:b/>
                <w:color w:val="auto"/>
                <w:sz w:val="18"/>
                <w:szCs w:val="18"/>
                <w:highlight w:val="none"/>
              </w:rPr>
              <w:t>品目号</w:t>
            </w:r>
          </w:p>
        </w:tc>
        <w:tc>
          <w:tcPr>
            <w:tcW w:w="1767" w:type="dxa"/>
            <w:noWrap w:val="0"/>
            <w:vAlign w:val="center"/>
          </w:tcPr>
          <w:p>
            <w:pPr>
              <w:spacing w:line="240" w:lineRule="exact"/>
              <w:jc w:val="center"/>
              <w:rPr>
                <w:rFonts w:hint="eastAsia" w:ascii="宋体" w:hAnsi="宋体"/>
                <w:b/>
                <w:color w:val="auto"/>
                <w:szCs w:val="21"/>
                <w:highlight w:val="none"/>
              </w:rPr>
            </w:pPr>
            <w:r>
              <w:rPr>
                <w:rFonts w:hint="eastAsia" w:ascii="宋体" w:hAnsi="宋体"/>
                <w:b/>
                <w:color w:val="auto"/>
                <w:szCs w:val="21"/>
                <w:highlight w:val="none"/>
              </w:rPr>
              <w:t>清单产品名称</w:t>
            </w:r>
          </w:p>
        </w:tc>
        <w:tc>
          <w:tcPr>
            <w:tcW w:w="1590" w:type="dxa"/>
            <w:noWrap w:val="0"/>
            <w:vAlign w:val="center"/>
          </w:tcPr>
          <w:p>
            <w:pPr>
              <w:spacing w:line="240" w:lineRule="exact"/>
              <w:jc w:val="center"/>
              <w:rPr>
                <w:rFonts w:hint="eastAsia" w:ascii="宋体" w:hAnsi="宋体"/>
                <w:b/>
                <w:color w:val="auto"/>
                <w:szCs w:val="21"/>
                <w:highlight w:val="none"/>
              </w:rPr>
            </w:pPr>
            <w:r>
              <w:rPr>
                <w:rFonts w:hint="eastAsia" w:ascii="宋体" w:hAnsi="宋体"/>
                <w:b/>
                <w:color w:val="auto"/>
                <w:szCs w:val="21"/>
                <w:highlight w:val="none"/>
              </w:rPr>
              <w:t>品牌/型号规格</w:t>
            </w:r>
          </w:p>
        </w:tc>
        <w:tc>
          <w:tcPr>
            <w:tcW w:w="840" w:type="dxa"/>
            <w:noWrap w:val="0"/>
            <w:vAlign w:val="center"/>
          </w:tcPr>
          <w:p>
            <w:pPr>
              <w:spacing w:line="240" w:lineRule="exact"/>
              <w:jc w:val="center"/>
              <w:rPr>
                <w:rFonts w:hint="eastAsia" w:ascii="宋体" w:hAnsi="宋体"/>
                <w:b/>
                <w:color w:val="auto"/>
                <w:szCs w:val="21"/>
                <w:highlight w:val="none"/>
              </w:rPr>
            </w:pPr>
            <w:r>
              <w:rPr>
                <w:rFonts w:hint="eastAsia" w:ascii="宋体" w:hAnsi="宋体"/>
                <w:b/>
                <w:color w:val="auto"/>
                <w:szCs w:val="21"/>
                <w:highlight w:val="none"/>
              </w:rPr>
              <w:t>数量</w:t>
            </w:r>
          </w:p>
        </w:tc>
        <w:tc>
          <w:tcPr>
            <w:tcW w:w="840" w:type="dxa"/>
            <w:noWrap w:val="0"/>
            <w:vAlign w:val="center"/>
          </w:tcPr>
          <w:p>
            <w:pPr>
              <w:spacing w:line="240" w:lineRule="exact"/>
              <w:jc w:val="center"/>
              <w:rPr>
                <w:rFonts w:hint="eastAsia" w:ascii="宋体" w:hAnsi="宋体"/>
                <w:b/>
                <w:color w:val="auto"/>
                <w:szCs w:val="21"/>
                <w:highlight w:val="none"/>
              </w:rPr>
            </w:pPr>
            <w:r>
              <w:rPr>
                <w:rFonts w:hint="eastAsia" w:ascii="宋体" w:hAnsi="宋体"/>
                <w:b/>
                <w:color w:val="auto"/>
                <w:szCs w:val="21"/>
                <w:highlight w:val="none"/>
              </w:rPr>
              <w:t>单价</w:t>
            </w:r>
          </w:p>
        </w:tc>
        <w:tc>
          <w:tcPr>
            <w:tcW w:w="1260" w:type="dxa"/>
            <w:noWrap w:val="0"/>
            <w:vAlign w:val="center"/>
          </w:tcPr>
          <w:p>
            <w:pPr>
              <w:spacing w:line="240" w:lineRule="exact"/>
              <w:jc w:val="center"/>
              <w:rPr>
                <w:rFonts w:hint="eastAsia" w:ascii="宋体" w:hAnsi="宋体"/>
                <w:b/>
                <w:color w:val="auto"/>
                <w:szCs w:val="21"/>
                <w:highlight w:val="none"/>
              </w:rPr>
            </w:pPr>
            <w:r>
              <w:rPr>
                <w:rFonts w:hint="eastAsia" w:ascii="宋体" w:hAnsi="宋体"/>
                <w:b/>
                <w:color w:val="auto"/>
                <w:szCs w:val="21"/>
                <w:highlight w:val="none"/>
              </w:rPr>
              <w:t>小计</w:t>
            </w:r>
          </w:p>
        </w:tc>
        <w:tc>
          <w:tcPr>
            <w:tcW w:w="1260" w:type="dxa"/>
            <w:noWrap w:val="0"/>
            <w:vAlign w:val="center"/>
          </w:tcPr>
          <w:p>
            <w:pPr>
              <w:spacing w:line="240" w:lineRule="exact"/>
              <w:jc w:val="center"/>
              <w:rPr>
                <w:rFonts w:hint="eastAsia" w:ascii="宋体" w:hAnsi="宋体"/>
                <w:b/>
                <w:color w:val="auto"/>
                <w:szCs w:val="21"/>
                <w:highlight w:val="none"/>
              </w:rPr>
            </w:pPr>
            <w:r>
              <w:rPr>
                <w:rFonts w:hint="eastAsia" w:ascii="宋体" w:hAnsi="宋体"/>
                <w:b/>
                <w:color w:val="auto"/>
                <w:szCs w:val="21"/>
                <w:highlight w:val="none"/>
              </w:rPr>
              <w:t>所属清单类别</w:t>
            </w:r>
          </w:p>
        </w:tc>
        <w:tc>
          <w:tcPr>
            <w:tcW w:w="1680" w:type="dxa"/>
            <w:noWrap w:val="0"/>
            <w:vAlign w:val="center"/>
          </w:tcPr>
          <w:p>
            <w:pPr>
              <w:spacing w:line="240" w:lineRule="exact"/>
              <w:jc w:val="center"/>
              <w:rPr>
                <w:rFonts w:hint="eastAsia" w:ascii="宋体" w:hAnsi="宋体"/>
                <w:b/>
                <w:color w:val="auto"/>
                <w:szCs w:val="21"/>
                <w:highlight w:val="none"/>
              </w:rPr>
            </w:pPr>
            <w:r>
              <w:rPr>
                <w:rFonts w:hint="eastAsia" w:ascii="宋体" w:hAnsi="宋体"/>
                <w:b/>
                <w:color w:val="auto"/>
                <w:szCs w:val="21"/>
                <w:highlight w:val="none"/>
              </w:rPr>
              <w:t>认证证书编号</w:t>
            </w:r>
          </w:p>
        </w:tc>
        <w:tc>
          <w:tcPr>
            <w:tcW w:w="1995" w:type="dxa"/>
            <w:noWrap w:val="0"/>
            <w:vAlign w:val="center"/>
          </w:tcPr>
          <w:p>
            <w:pPr>
              <w:spacing w:line="240" w:lineRule="exact"/>
              <w:jc w:val="center"/>
              <w:rPr>
                <w:rFonts w:hint="eastAsia" w:ascii="宋体" w:hAnsi="宋体"/>
                <w:b/>
                <w:color w:val="auto"/>
                <w:szCs w:val="21"/>
                <w:highlight w:val="none"/>
              </w:rPr>
            </w:pPr>
            <w:r>
              <w:rPr>
                <w:rFonts w:hint="eastAsia" w:ascii="宋体" w:hAnsi="宋体"/>
                <w:b/>
                <w:color w:val="auto"/>
                <w:szCs w:val="21"/>
                <w:highlight w:val="none"/>
              </w:rPr>
              <w:t>证书有效截止日期</w:t>
            </w:r>
          </w:p>
        </w:tc>
        <w:tc>
          <w:tcPr>
            <w:tcW w:w="1260" w:type="dxa"/>
            <w:noWrap w:val="0"/>
            <w:vAlign w:val="center"/>
          </w:tcPr>
          <w:p>
            <w:pPr>
              <w:spacing w:line="240" w:lineRule="exact"/>
              <w:jc w:val="center"/>
              <w:rPr>
                <w:rFonts w:hint="eastAsia" w:ascii="宋体" w:hAnsi="宋体"/>
                <w:b/>
                <w:color w:val="auto"/>
                <w:szCs w:val="21"/>
                <w:highlight w:val="none"/>
              </w:rPr>
            </w:pPr>
            <w:r>
              <w:rPr>
                <w:rFonts w:hint="eastAsia" w:ascii="宋体" w:hAnsi="宋体"/>
                <w:b/>
                <w:color w:val="auto"/>
                <w:szCs w:val="21"/>
                <w:highlight w:val="none"/>
              </w:rPr>
              <w:t>所在清单页码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8" w:type="dxa"/>
            <w:noWrap w:val="0"/>
            <w:vAlign w:val="top"/>
          </w:tcPr>
          <w:p>
            <w:pPr>
              <w:rPr>
                <w:rFonts w:hint="eastAsia" w:ascii="宋体" w:hAnsi="宋体"/>
                <w:color w:val="auto"/>
                <w:szCs w:val="21"/>
                <w:highlight w:val="none"/>
              </w:rPr>
            </w:pPr>
            <w:r>
              <w:rPr>
                <w:rFonts w:hint="eastAsia" w:ascii="宋体" w:hAnsi="宋体"/>
                <w:color w:val="auto"/>
                <w:szCs w:val="21"/>
                <w:highlight w:val="none"/>
              </w:rPr>
              <w:t>1/1</w:t>
            </w:r>
          </w:p>
        </w:tc>
        <w:tc>
          <w:tcPr>
            <w:tcW w:w="176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A</w:t>
            </w:r>
          </w:p>
        </w:tc>
        <w:tc>
          <w:tcPr>
            <w:tcW w:w="1590" w:type="dxa"/>
            <w:noWrap w:val="0"/>
            <w:vAlign w:val="center"/>
          </w:tcPr>
          <w:p>
            <w:pPr>
              <w:rPr>
                <w:rFonts w:hint="eastAsia" w:ascii="宋体" w:hAnsi="宋体"/>
                <w:color w:val="auto"/>
                <w:szCs w:val="21"/>
                <w:highlight w:val="none"/>
              </w:rPr>
            </w:pPr>
          </w:p>
        </w:tc>
        <w:tc>
          <w:tcPr>
            <w:tcW w:w="840" w:type="dxa"/>
            <w:noWrap w:val="0"/>
            <w:vAlign w:val="center"/>
          </w:tcPr>
          <w:p>
            <w:pPr>
              <w:rPr>
                <w:rFonts w:hint="eastAsia" w:ascii="宋体" w:hAnsi="宋体"/>
                <w:color w:val="auto"/>
                <w:szCs w:val="21"/>
                <w:highlight w:val="none"/>
              </w:rPr>
            </w:pPr>
          </w:p>
        </w:tc>
        <w:tc>
          <w:tcPr>
            <w:tcW w:w="840" w:type="dxa"/>
            <w:noWrap w:val="0"/>
            <w:vAlign w:val="center"/>
          </w:tcPr>
          <w:p>
            <w:pPr>
              <w:rPr>
                <w:rFonts w:hint="eastAsia" w:ascii="宋体" w:hAnsi="宋体"/>
                <w:color w:val="auto"/>
                <w:szCs w:val="21"/>
                <w:highlight w:val="none"/>
              </w:rPr>
            </w:pPr>
          </w:p>
        </w:tc>
        <w:tc>
          <w:tcPr>
            <w:tcW w:w="1260" w:type="dxa"/>
            <w:noWrap w:val="0"/>
            <w:vAlign w:val="top"/>
          </w:tcPr>
          <w:p>
            <w:pPr>
              <w:rPr>
                <w:rFonts w:hint="eastAsia" w:ascii="宋体" w:hAnsi="宋体"/>
                <w:color w:val="auto"/>
                <w:szCs w:val="21"/>
                <w:highlight w:val="none"/>
              </w:rPr>
            </w:pPr>
          </w:p>
        </w:tc>
        <w:tc>
          <w:tcPr>
            <w:tcW w:w="1260"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节能</w:t>
            </w:r>
          </w:p>
        </w:tc>
        <w:tc>
          <w:tcPr>
            <w:tcW w:w="1680" w:type="dxa"/>
            <w:noWrap w:val="0"/>
            <w:vAlign w:val="top"/>
          </w:tcPr>
          <w:p>
            <w:pPr>
              <w:rPr>
                <w:rFonts w:hint="eastAsia" w:ascii="宋体" w:hAnsi="宋体"/>
                <w:color w:val="auto"/>
                <w:szCs w:val="21"/>
                <w:highlight w:val="none"/>
              </w:rPr>
            </w:pPr>
          </w:p>
        </w:tc>
        <w:tc>
          <w:tcPr>
            <w:tcW w:w="1995" w:type="dxa"/>
            <w:noWrap w:val="0"/>
            <w:vAlign w:val="top"/>
          </w:tcPr>
          <w:p>
            <w:pPr>
              <w:rPr>
                <w:rFonts w:hint="eastAsia" w:ascii="宋体" w:hAnsi="宋体"/>
                <w:color w:val="auto"/>
                <w:szCs w:val="21"/>
                <w:highlight w:val="none"/>
              </w:rPr>
            </w:pPr>
          </w:p>
        </w:tc>
        <w:tc>
          <w:tcPr>
            <w:tcW w:w="1260" w:type="dxa"/>
            <w:noWrap w:val="0"/>
            <w:vAlign w:val="top"/>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8" w:type="dxa"/>
            <w:noWrap w:val="0"/>
            <w:vAlign w:val="top"/>
          </w:tcPr>
          <w:p>
            <w:pPr>
              <w:rPr>
                <w:rFonts w:hint="eastAsia" w:ascii="宋体" w:hAnsi="宋体"/>
                <w:color w:val="auto"/>
                <w:szCs w:val="21"/>
                <w:highlight w:val="none"/>
              </w:rPr>
            </w:pPr>
            <w:r>
              <w:rPr>
                <w:rFonts w:hint="eastAsia" w:ascii="宋体" w:hAnsi="宋体"/>
                <w:color w:val="auto"/>
                <w:szCs w:val="21"/>
                <w:highlight w:val="none"/>
              </w:rPr>
              <w:t>1/1</w:t>
            </w:r>
          </w:p>
        </w:tc>
        <w:tc>
          <w:tcPr>
            <w:tcW w:w="176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A</w:t>
            </w:r>
          </w:p>
        </w:tc>
        <w:tc>
          <w:tcPr>
            <w:tcW w:w="1590" w:type="dxa"/>
            <w:noWrap w:val="0"/>
            <w:vAlign w:val="center"/>
          </w:tcPr>
          <w:p>
            <w:pPr>
              <w:rPr>
                <w:rFonts w:hint="eastAsia" w:ascii="宋体" w:hAnsi="宋体"/>
                <w:color w:val="auto"/>
                <w:szCs w:val="21"/>
                <w:highlight w:val="none"/>
              </w:rPr>
            </w:pPr>
          </w:p>
        </w:tc>
        <w:tc>
          <w:tcPr>
            <w:tcW w:w="840" w:type="dxa"/>
            <w:noWrap w:val="0"/>
            <w:vAlign w:val="center"/>
          </w:tcPr>
          <w:p>
            <w:pPr>
              <w:rPr>
                <w:rFonts w:hint="eastAsia" w:ascii="宋体" w:hAnsi="宋体"/>
                <w:color w:val="auto"/>
                <w:szCs w:val="21"/>
                <w:highlight w:val="none"/>
              </w:rPr>
            </w:pPr>
          </w:p>
        </w:tc>
        <w:tc>
          <w:tcPr>
            <w:tcW w:w="840" w:type="dxa"/>
            <w:noWrap w:val="0"/>
            <w:vAlign w:val="center"/>
          </w:tcPr>
          <w:p>
            <w:pPr>
              <w:rPr>
                <w:rFonts w:hint="eastAsia" w:ascii="宋体" w:hAnsi="宋体"/>
                <w:color w:val="auto"/>
                <w:szCs w:val="21"/>
                <w:highlight w:val="none"/>
              </w:rPr>
            </w:pPr>
          </w:p>
        </w:tc>
        <w:tc>
          <w:tcPr>
            <w:tcW w:w="1260" w:type="dxa"/>
            <w:noWrap w:val="0"/>
            <w:vAlign w:val="top"/>
          </w:tcPr>
          <w:p>
            <w:pPr>
              <w:rPr>
                <w:rFonts w:hint="eastAsia" w:ascii="宋体" w:hAnsi="宋体"/>
                <w:color w:val="auto"/>
                <w:szCs w:val="21"/>
                <w:highlight w:val="none"/>
              </w:rPr>
            </w:pPr>
          </w:p>
        </w:tc>
        <w:tc>
          <w:tcPr>
            <w:tcW w:w="1260"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环境标志</w:t>
            </w:r>
          </w:p>
        </w:tc>
        <w:tc>
          <w:tcPr>
            <w:tcW w:w="1680" w:type="dxa"/>
            <w:noWrap w:val="0"/>
            <w:vAlign w:val="top"/>
          </w:tcPr>
          <w:p>
            <w:pPr>
              <w:rPr>
                <w:rFonts w:hint="eastAsia" w:ascii="宋体" w:hAnsi="宋体"/>
                <w:color w:val="auto"/>
                <w:szCs w:val="21"/>
                <w:highlight w:val="none"/>
              </w:rPr>
            </w:pPr>
          </w:p>
        </w:tc>
        <w:tc>
          <w:tcPr>
            <w:tcW w:w="1995" w:type="dxa"/>
            <w:noWrap w:val="0"/>
            <w:vAlign w:val="top"/>
          </w:tcPr>
          <w:p>
            <w:pPr>
              <w:rPr>
                <w:rFonts w:hint="eastAsia" w:ascii="宋体" w:hAnsi="宋体"/>
                <w:color w:val="auto"/>
                <w:szCs w:val="21"/>
                <w:highlight w:val="none"/>
              </w:rPr>
            </w:pPr>
          </w:p>
        </w:tc>
        <w:tc>
          <w:tcPr>
            <w:tcW w:w="1260" w:type="dxa"/>
            <w:noWrap w:val="0"/>
            <w:vAlign w:val="top"/>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8" w:type="dxa"/>
            <w:noWrap w:val="0"/>
            <w:vAlign w:val="top"/>
          </w:tcPr>
          <w:p>
            <w:pPr>
              <w:rPr>
                <w:rFonts w:hint="eastAsia" w:ascii="宋体" w:hAnsi="宋体"/>
                <w:color w:val="auto"/>
                <w:szCs w:val="21"/>
                <w:highlight w:val="none"/>
              </w:rPr>
            </w:pPr>
            <w:r>
              <w:rPr>
                <w:rFonts w:hint="eastAsia" w:ascii="宋体" w:hAnsi="宋体"/>
                <w:color w:val="auto"/>
                <w:szCs w:val="21"/>
                <w:highlight w:val="none"/>
              </w:rPr>
              <w:t>1/2</w:t>
            </w:r>
          </w:p>
        </w:tc>
        <w:tc>
          <w:tcPr>
            <w:tcW w:w="176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B</w:t>
            </w:r>
          </w:p>
        </w:tc>
        <w:tc>
          <w:tcPr>
            <w:tcW w:w="1590" w:type="dxa"/>
            <w:noWrap w:val="0"/>
            <w:vAlign w:val="center"/>
          </w:tcPr>
          <w:p>
            <w:pPr>
              <w:rPr>
                <w:rFonts w:hint="eastAsia" w:ascii="宋体" w:hAnsi="宋体"/>
                <w:color w:val="auto"/>
                <w:szCs w:val="21"/>
                <w:highlight w:val="none"/>
              </w:rPr>
            </w:pPr>
          </w:p>
        </w:tc>
        <w:tc>
          <w:tcPr>
            <w:tcW w:w="840" w:type="dxa"/>
            <w:noWrap w:val="0"/>
            <w:vAlign w:val="center"/>
          </w:tcPr>
          <w:p>
            <w:pPr>
              <w:rPr>
                <w:rFonts w:hint="eastAsia" w:ascii="宋体" w:hAnsi="宋体"/>
                <w:color w:val="auto"/>
                <w:szCs w:val="21"/>
                <w:highlight w:val="none"/>
              </w:rPr>
            </w:pPr>
          </w:p>
        </w:tc>
        <w:tc>
          <w:tcPr>
            <w:tcW w:w="840" w:type="dxa"/>
            <w:noWrap w:val="0"/>
            <w:vAlign w:val="center"/>
          </w:tcPr>
          <w:p>
            <w:pPr>
              <w:rPr>
                <w:rFonts w:hint="eastAsia" w:ascii="宋体" w:hAnsi="宋体"/>
                <w:color w:val="auto"/>
                <w:szCs w:val="21"/>
                <w:highlight w:val="none"/>
              </w:rPr>
            </w:pPr>
          </w:p>
        </w:tc>
        <w:tc>
          <w:tcPr>
            <w:tcW w:w="1260" w:type="dxa"/>
            <w:noWrap w:val="0"/>
            <w:vAlign w:val="top"/>
          </w:tcPr>
          <w:p>
            <w:pPr>
              <w:rPr>
                <w:rFonts w:hint="eastAsia" w:ascii="宋体" w:hAnsi="宋体"/>
                <w:color w:val="auto"/>
                <w:szCs w:val="21"/>
                <w:highlight w:val="none"/>
              </w:rPr>
            </w:pPr>
          </w:p>
        </w:tc>
        <w:tc>
          <w:tcPr>
            <w:tcW w:w="1260"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节能</w:t>
            </w:r>
          </w:p>
        </w:tc>
        <w:tc>
          <w:tcPr>
            <w:tcW w:w="1680" w:type="dxa"/>
            <w:noWrap w:val="0"/>
            <w:vAlign w:val="center"/>
          </w:tcPr>
          <w:p>
            <w:pPr>
              <w:ind w:firstLine="480"/>
              <w:jc w:val="center"/>
              <w:rPr>
                <w:rFonts w:hint="eastAsia" w:ascii="宋体" w:hAnsi="宋体"/>
                <w:color w:val="auto"/>
                <w:szCs w:val="21"/>
                <w:highlight w:val="none"/>
              </w:rPr>
            </w:pPr>
          </w:p>
        </w:tc>
        <w:tc>
          <w:tcPr>
            <w:tcW w:w="1995" w:type="dxa"/>
            <w:noWrap w:val="0"/>
            <w:vAlign w:val="center"/>
          </w:tcPr>
          <w:p>
            <w:pPr>
              <w:ind w:firstLine="480"/>
              <w:jc w:val="center"/>
              <w:rPr>
                <w:rFonts w:hint="eastAsia" w:ascii="宋体" w:hAnsi="宋体"/>
                <w:color w:val="auto"/>
                <w:szCs w:val="21"/>
                <w:highlight w:val="none"/>
              </w:rPr>
            </w:pPr>
          </w:p>
        </w:tc>
        <w:tc>
          <w:tcPr>
            <w:tcW w:w="1260" w:type="dxa"/>
            <w:noWrap w:val="0"/>
            <w:vAlign w:val="center"/>
          </w:tcPr>
          <w:p>
            <w:pPr>
              <w:ind w:firstLine="48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8" w:type="dxa"/>
            <w:noWrap w:val="0"/>
            <w:vAlign w:val="top"/>
          </w:tcPr>
          <w:p>
            <w:pPr>
              <w:rPr>
                <w:rFonts w:hint="eastAsia" w:ascii="宋体" w:hAnsi="宋体"/>
                <w:color w:val="auto"/>
                <w:szCs w:val="21"/>
                <w:highlight w:val="none"/>
              </w:rPr>
            </w:pPr>
            <w:r>
              <w:rPr>
                <w:rFonts w:hint="eastAsia" w:ascii="宋体" w:hAnsi="宋体"/>
                <w:color w:val="auto"/>
                <w:szCs w:val="21"/>
                <w:highlight w:val="none"/>
              </w:rPr>
              <w:t>1/2</w:t>
            </w:r>
          </w:p>
        </w:tc>
        <w:tc>
          <w:tcPr>
            <w:tcW w:w="176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B</w:t>
            </w:r>
          </w:p>
        </w:tc>
        <w:tc>
          <w:tcPr>
            <w:tcW w:w="1590" w:type="dxa"/>
            <w:noWrap w:val="0"/>
            <w:vAlign w:val="center"/>
          </w:tcPr>
          <w:p>
            <w:pPr>
              <w:rPr>
                <w:rFonts w:hint="eastAsia" w:ascii="宋体" w:hAnsi="宋体"/>
                <w:color w:val="auto"/>
                <w:szCs w:val="21"/>
                <w:highlight w:val="none"/>
              </w:rPr>
            </w:pPr>
          </w:p>
        </w:tc>
        <w:tc>
          <w:tcPr>
            <w:tcW w:w="840" w:type="dxa"/>
            <w:noWrap w:val="0"/>
            <w:vAlign w:val="center"/>
          </w:tcPr>
          <w:p>
            <w:pPr>
              <w:rPr>
                <w:rFonts w:hint="eastAsia" w:ascii="宋体" w:hAnsi="宋体"/>
                <w:color w:val="auto"/>
                <w:szCs w:val="21"/>
                <w:highlight w:val="none"/>
              </w:rPr>
            </w:pPr>
          </w:p>
        </w:tc>
        <w:tc>
          <w:tcPr>
            <w:tcW w:w="840" w:type="dxa"/>
            <w:noWrap w:val="0"/>
            <w:vAlign w:val="center"/>
          </w:tcPr>
          <w:p>
            <w:pPr>
              <w:rPr>
                <w:rFonts w:hint="eastAsia" w:ascii="宋体" w:hAnsi="宋体"/>
                <w:color w:val="auto"/>
                <w:szCs w:val="21"/>
                <w:highlight w:val="none"/>
              </w:rPr>
            </w:pPr>
          </w:p>
        </w:tc>
        <w:tc>
          <w:tcPr>
            <w:tcW w:w="1260" w:type="dxa"/>
            <w:noWrap w:val="0"/>
            <w:vAlign w:val="top"/>
          </w:tcPr>
          <w:p>
            <w:pPr>
              <w:rPr>
                <w:rFonts w:hint="eastAsia" w:ascii="宋体" w:hAnsi="宋体"/>
                <w:color w:val="auto"/>
                <w:szCs w:val="21"/>
                <w:highlight w:val="none"/>
              </w:rPr>
            </w:pPr>
          </w:p>
        </w:tc>
        <w:tc>
          <w:tcPr>
            <w:tcW w:w="1260"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环境标志</w:t>
            </w:r>
          </w:p>
        </w:tc>
        <w:tc>
          <w:tcPr>
            <w:tcW w:w="1680" w:type="dxa"/>
            <w:noWrap w:val="0"/>
            <w:vAlign w:val="center"/>
          </w:tcPr>
          <w:p>
            <w:pPr>
              <w:ind w:firstLine="480"/>
              <w:jc w:val="center"/>
              <w:rPr>
                <w:rFonts w:hint="eastAsia" w:ascii="宋体" w:hAnsi="宋体"/>
                <w:color w:val="auto"/>
                <w:szCs w:val="21"/>
                <w:highlight w:val="none"/>
              </w:rPr>
            </w:pPr>
          </w:p>
        </w:tc>
        <w:tc>
          <w:tcPr>
            <w:tcW w:w="1995" w:type="dxa"/>
            <w:noWrap w:val="0"/>
            <w:vAlign w:val="center"/>
          </w:tcPr>
          <w:p>
            <w:pPr>
              <w:ind w:firstLine="480"/>
              <w:jc w:val="center"/>
              <w:rPr>
                <w:rFonts w:hint="eastAsia" w:ascii="宋体" w:hAnsi="宋体"/>
                <w:color w:val="auto"/>
                <w:szCs w:val="21"/>
                <w:highlight w:val="none"/>
              </w:rPr>
            </w:pPr>
          </w:p>
        </w:tc>
        <w:tc>
          <w:tcPr>
            <w:tcW w:w="1260" w:type="dxa"/>
            <w:noWrap w:val="0"/>
            <w:vAlign w:val="center"/>
          </w:tcPr>
          <w:p>
            <w:pPr>
              <w:ind w:firstLine="48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8" w:type="dxa"/>
            <w:noWrap w:val="0"/>
            <w:vAlign w:val="center"/>
          </w:tcPr>
          <w:p>
            <w:pPr>
              <w:rPr>
                <w:rFonts w:hint="eastAsia" w:ascii="宋体" w:hAnsi="宋体"/>
                <w:color w:val="auto"/>
                <w:szCs w:val="21"/>
                <w:highlight w:val="none"/>
              </w:rPr>
            </w:pPr>
          </w:p>
        </w:tc>
        <w:tc>
          <w:tcPr>
            <w:tcW w:w="1767" w:type="dxa"/>
            <w:noWrap w:val="0"/>
            <w:vAlign w:val="center"/>
          </w:tcPr>
          <w:p>
            <w:pPr>
              <w:rPr>
                <w:rFonts w:hint="eastAsia" w:ascii="宋体" w:hAnsi="宋体"/>
                <w:color w:val="auto"/>
                <w:szCs w:val="21"/>
                <w:highlight w:val="none"/>
              </w:rPr>
            </w:pPr>
            <w:r>
              <w:rPr>
                <w:rFonts w:ascii="宋体" w:hAnsi="宋体"/>
                <w:color w:val="auto"/>
                <w:szCs w:val="21"/>
                <w:highlight w:val="none"/>
              </w:rPr>
              <w:t>……</w:t>
            </w:r>
          </w:p>
        </w:tc>
        <w:tc>
          <w:tcPr>
            <w:tcW w:w="1590" w:type="dxa"/>
            <w:noWrap w:val="0"/>
            <w:vAlign w:val="center"/>
          </w:tcPr>
          <w:p>
            <w:pPr>
              <w:ind w:firstLine="480"/>
              <w:jc w:val="center"/>
              <w:rPr>
                <w:rFonts w:hint="eastAsia" w:ascii="宋体" w:hAnsi="宋体"/>
                <w:color w:val="auto"/>
                <w:szCs w:val="21"/>
                <w:highlight w:val="none"/>
              </w:rPr>
            </w:pPr>
          </w:p>
        </w:tc>
        <w:tc>
          <w:tcPr>
            <w:tcW w:w="840" w:type="dxa"/>
            <w:noWrap w:val="0"/>
            <w:vAlign w:val="center"/>
          </w:tcPr>
          <w:p>
            <w:pPr>
              <w:rPr>
                <w:rFonts w:hint="eastAsia" w:ascii="宋体" w:hAnsi="宋体"/>
                <w:color w:val="auto"/>
                <w:szCs w:val="21"/>
                <w:highlight w:val="none"/>
              </w:rPr>
            </w:pPr>
          </w:p>
        </w:tc>
        <w:tc>
          <w:tcPr>
            <w:tcW w:w="840" w:type="dxa"/>
            <w:noWrap w:val="0"/>
            <w:vAlign w:val="center"/>
          </w:tcPr>
          <w:p>
            <w:pPr>
              <w:ind w:firstLine="480"/>
              <w:jc w:val="center"/>
              <w:rPr>
                <w:rFonts w:hint="eastAsia" w:ascii="宋体" w:hAnsi="宋体"/>
                <w:color w:val="auto"/>
                <w:szCs w:val="21"/>
                <w:highlight w:val="none"/>
              </w:rPr>
            </w:pPr>
          </w:p>
        </w:tc>
        <w:tc>
          <w:tcPr>
            <w:tcW w:w="1260" w:type="dxa"/>
            <w:noWrap w:val="0"/>
            <w:vAlign w:val="center"/>
          </w:tcPr>
          <w:p>
            <w:pPr>
              <w:ind w:firstLine="480"/>
              <w:jc w:val="center"/>
              <w:rPr>
                <w:rFonts w:hint="eastAsia" w:ascii="宋体" w:hAnsi="宋体"/>
                <w:color w:val="auto"/>
                <w:szCs w:val="21"/>
                <w:highlight w:val="none"/>
              </w:rPr>
            </w:pPr>
          </w:p>
        </w:tc>
        <w:tc>
          <w:tcPr>
            <w:tcW w:w="1260" w:type="dxa"/>
            <w:noWrap w:val="0"/>
            <w:vAlign w:val="center"/>
          </w:tcPr>
          <w:p>
            <w:pPr>
              <w:rPr>
                <w:rFonts w:hint="eastAsia" w:ascii="宋体" w:hAnsi="宋体"/>
                <w:color w:val="auto"/>
                <w:szCs w:val="21"/>
                <w:highlight w:val="none"/>
              </w:rPr>
            </w:pPr>
          </w:p>
        </w:tc>
        <w:tc>
          <w:tcPr>
            <w:tcW w:w="1680" w:type="dxa"/>
            <w:noWrap w:val="0"/>
            <w:vAlign w:val="center"/>
          </w:tcPr>
          <w:p>
            <w:pPr>
              <w:ind w:firstLine="480"/>
              <w:jc w:val="center"/>
              <w:rPr>
                <w:rFonts w:hint="eastAsia" w:ascii="宋体" w:hAnsi="宋体"/>
                <w:color w:val="auto"/>
                <w:szCs w:val="21"/>
                <w:highlight w:val="none"/>
              </w:rPr>
            </w:pPr>
          </w:p>
        </w:tc>
        <w:tc>
          <w:tcPr>
            <w:tcW w:w="1995" w:type="dxa"/>
            <w:noWrap w:val="0"/>
            <w:vAlign w:val="center"/>
          </w:tcPr>
          <w:p>
            <w:pPr>
              <w:ind w:firstLine="480"/>
              <w:jc w:val="center"/>
              <w:rPr>
                <w:rFonts w:hint="eastAsia" w:ascii="宋体" w:hAnsi="宋体"/>
                <w:color w:val="auto"/>
                <w:szCs w:val="21"/>
                <w:highlight w:val="none"/>
              </w:rPr>
            </w:pPr>
          </w:p>
        </w:tc>
        <w:tc>
          <w:tcPr>
            <w:tcW w:w="1260" w:type="dxa"/>
            <w:noWrap w:val="0"/>
            <w:vAlign w:val="center"/>
          </w:tcPr>
          <w:p>
            <w:pPr>
              <w:ind w:firstLine="48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85" w:type="dxa"/>
            <w:gridSpan w:val="5"/>
            <w:noWrap w:val="0"/>
            <w:vAlign w:val="center"/>
          </w:tcPr>
          <w:p>
            <w:pPr>
              <w:rPr>
                <w:rFonts w:hint="eastAsia" w:ascii="宋体" w:hAnsi="宋体"/>
                <w:color w:val="auto"/>
                <w:szCs w:val="21"/>
                <w:highlight w:val="none"/>
              </w:rPr>
            </w:pPr>
            <w:r>
              <w:rPr>
                <w:rFonts w:hint="eastAsia" w:ascii="宋体" w:hAnsi="宋体"/>
                <w:b/>
                <w:color w:val="auto"/>
                <w:szCs w:val="21"/>
                <w:highlight w:val="none"/>
              </w:rPr>
              <w:t>A1:</w:t>
            </w:r>
            <w:r>
              <w:rPr>
                <w:rFonts w:ascii="宋体" w:hAnsi="宋体"/>
                <w:b/>
                <w:color w:val="auto"/>
                <w:szCs w:val="21"/>
                <w:highlight w:val="none"/>
              </w:rPr>
              <w:t>本合同包内属于节能、环境标志产品的报价总金额</w:t>
            </w:r>
          </w:p>
        </w:tc>
        <w:tc>
          <w:tcPr>
            <w:tcW w:w="1260" w:type="dxa"/>
            <w:noWrap w:val="0"/>
            <w:vAlign w:val="center"/>
          </w:tcPr>
          <w:p>
            <w:pPr>
              <w:ind w:firstLine="480"/>
              <w:jc w:val="center"/>
              <w:rPr>
                <w:rFonts w:hint="eastAsia" w:ascii="宋体" w:hAnsi="宋体"/>
                <w:color w:val="auto"/>
                <w:szCs w:val="21"/>
                <w:highlight w:val="none"/>
              </w:rPr>
            </w:pPr>
          </w:p>
        </w:tc>
        <w:tc>
          <w:tcPr>
            <w:tcW w:w="1260" w:type="dxa"/>
            <w:noWrap w:val="0"/>
            <w:vAlign w:val="center"/>
          </w:tcPr>
          <w:p>
            <w:pPr>
              <w:ind w:firstLine="480"/>
              <w:jc w:val="center"/>
              <w:rPr>
                <w:rFonts w:hint="eastAsia" w:ascii="宋体" w:hAnsi="宋体"/>
                <w:color w:val="auto"/>
                <w:szCs w:val="21"/>
                <w:highlight w:val="none"/>
              </w:rPr>
            </w:pPr>
          </w:p>
        </w:tc>
        <w:tc>
          <w:tcPr>
            <w:tcW w:w="1680" w:type="dxa"/>
            <w:noWrap w:val="0"/>
            <w:vAlign w:val="center"/>
          </w:tcPr>
          <w:p>
            <w:pPr>
              <w:ind w:firstLine="480"/>
              <w:jc w:val="center"/>
              <w:rPr>
                <w:rFonts w:hint="eastAsia" w:ascii="宋体" w:hAnsi="宋体"/>
                <w:color w:val="auto"/>
                <w:szCs w:val="21"/>
                <w:highlight w:val="none"/>
              </w:rPr>
            </w:pPr>
          </w:p>
        </w:tc>
        <w:tc>
          <w:tcPr>
            <w:tcW w:w="1995" w:type="dxa"/>
            <w:noWrap w:val="0"/>
            <w:vAlign w:val="center"/>
          </w:tcPr>
          <w:p>
            <w:pPr>
              <w:ind w:firstLine="480"/>
              <w:jc w:val="center"/>
              <w:rPr>
                <w:rFonts w:hint="eastAsia" w:ascii="宋体" w:hAnsi="宋体"/>
                <w:color w:val="auto"/>
                <w:szCs w:val="21"/>
                <w:highlight w:val="none"/>
              </w:rPr>
            </w:pPr>
          </w:p>
        </w:tc>
        <w:tc>
          <w:tcPr>
            <w:tcW w:w="1260" w:type="dxa"/>
            <w:noWrap w:val="0"/>
            <w:vAlign w:val="center"/>
          </w:tcPr>
          <w:p>
            <w:pPr>
              <w:ind w:firstLine="48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85" w:type="dxa"/>
            <w:gridSpan w:val="5"/>
            <w:noWrap w:val="0"/>
            <w:vAlign w:val="center"/>
          </w:tcPr>
          <w:p>
            <w:pPr>
              <w:rPr>
                <w:rFonts w:hint="eastAsia" w:ascii="宋体" w:hAnsi="宋体"/>
                <w:b/>
                <w:color w:val="auto"/>
                <w:szCs w:val="21"/>
                <w:highlight w:val="none"/>
              </w:rPr>
            </w:pPr>
            <w:r>
              <w:rPr>
                <w:rFonts w:hint="eastAsia" w:ascii="宋体" w:hAnsi="宋体"/>
                <w:b/>
                <w:color w:val="auto"/>
                <w:szCs w:val="21"/>
                <w:highlight w:val="none"/>
              </w:rPr>
              <w:t>A2:</w:t>
            </w:r>
            <w:r>
              <w:rPr>
                <w:rFonts w:ascii="宋体" w:hAnsi="宋体"/>
                <w:b/>
                <w:color w:val="auto"/>
                <w:szCs w:val="21"/>
                <w:highlight w:val="none"/>
              </w:rPr>
              <w:t>本合同包</w:t>
            </w:r>
            <w:r>
              <w:rPr>
                <w:rFonts w:hint="eastAsia" w:ascii="宋体" w:hAnsi="宋体"/>
                <w:b/>
                <w:color w:val="auto"/>
                <w:szCs w:val="21"/>
                <w:highlight w:val="none"/>
              </w:rPr>
              <w:t>投标</w:t>
            </w:r>
            <w:r>
              <w:rPr>
                <w:rFonts w:ascii="宋体" w:hAnsi="宋体"/>
                <w:b/>
                <w:color w:val="auto"/>
                <w:szCs w:val="21"/>
                <w:highlight w:val="none"/>
              </w:rPr>
              <w:t>报价总金额(国内现场交货价)</w:t>
            </w:r>
          </w:p>
        </w:tc>
        <w:tc>
          <w:tcPr>
            <w:tcW w:w="1260" w:type="dxa"/>
            <w:noWrap w:val="0"/>
            <w:vAlign w:val="center"/>
          </w:tcPr>
          <w:p>
            <w:pPr>
              <w:ind w:firstLine="480"/>
              <w:jc w:val="center"/>
              <w:rPr>
                <w:rFonts w:hint="eastAsia" w:ascii="宋体" w:hAnsi="宋体"/>
                <w:color w:val="auto"/>
                <w:szCs w:val="21"/>
                <w:highlight w:val="none"/>
              </w:rPr>
            </w:pPr>
          </w:p>
        </w:tc>
        <w:tc>
          <w:tcPr>
            <w:tcW w:w="1260" w:type="dxa"/>
            <w:noWrap w:val="0"/>
            <w:vAlign w:val="center"/>
          </w:tcPr>
          <w:p>
            <w:pPr>
              <w:ind w:firstLine="480"/>
              <w:jc w:val="center"/>
              <w:rPr>
                <w:rFonts w:hint="eastAsia" w:ascii="宋体" w:hAnsi="宋体"/>
                <w:color w:val="auto"/>
                <w:szCs w:val="21"/>
                <w:highlight w:val="none"/>
              </w:rPr>
            </w:pPr>
          </w:p>
        </w:tc>
        <w:tc>
          <w:tcPr>
            <w:tcW w:w="1680" w:type="dxa"/>
            <w:noWrap w:val="0"/>
            <w:vAlign w:val="center"/>
          </w:tcPr>
          <w:p>
            <w:pPr>
              <w:ind w:firstLine="480"/>
              <w:jc w:val="center"/>
              <w:rPr>
                <w:rFonts w:hint="eastAsia" w:ascii="宋体" w:hAnsi="宋体"/>
                <w:color w:val="auto"/>
                <w:szCs w:val="21"/>
                <w:highlight w:val="none"/>
              </w:rPr>
            </w:pPr>
          </w:p>
        </w:tc>
        <w:tc>
          <w:tcPr>
            <w:tcW w:w="1995" w:type="dxa"/>
            <w:noWrap w:val="0"/>
            <w:vAlign w:val="center"/>
          </w:tcPr>
          <w:p>
            <w:pPr>
              <w:ind w:firstLine="480"/>
              <w:jc w:val="center"/>
              <w:rPr>
                <w:rFonts w:hint="eastAsia" w:ascii="宋体" w:hAnsi="宋体"/>
                <w:color w:val="auto"/>
                <w:szCs w:val="21"/>
                <w:highlight w:val="none"/>
              </w:rPr>
            </w:pPr>
          </w:p>
        </w:tc>
        <w:tc>
          <w:tcPr>
            <w:tcW w:w="1260" w:type="dxa"/>
            <w:noWrap w:val="0"/>
            <w:vAlign w:val="center"/>
          </w:tcPr>
          <w:p>
            <w:pPr>
              <w:ind w:firstLine="48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85" w:type="dxa"/>
            <w:gridSpan w:val="5"/>
            <w:noWrap w:val="0"/>
            <w:vAlign w:val="center"/>
          </w:tcPr>
          <w:p>
            <w:pPr>
              <w:rPr>
                <w:rFonts w:ascii="宋体" w:hAnsi="宋体"/>
                <w:b/>
                <w:color w:val="auto"/>
                <w:szCs w:val="21"/>
                <w:highlight w:val="none"/>
              </w:rPr>
            </w:pPr>
            <w:r>
              <w:rPr>
                <w:rFonts w:hint="eastAsia" w:ascii="宋体" w:hAnsi="宋体"/>
                <w:b/>
                <w:color w:val="auto"/>
                <w:szCs w:val="21"/>
                <w:highlight w:val="none"/>
              </w:rPr>
              <w:t>A3:</w:t>
            </w:r>
            <w:r>
              <w:rPr>
                <w:rFonts w:ascii="宋体" w:hAnsi="宋体"/>
                <w:b/>
                <w:color w:val="auto"/>
                <w:szCs w:val="21"/>
                <w:highlight w:val="none"/>
              </w:rPr>
              <w:t>本合同包内属于节能、环境标志产品的报价总金额占本合同包</w:t>
            </w:r>
            <w:r>
              <w:rPr>
                <w:rFonts w:hint="eastAsia" w:ascii="宋体" w:hAnsi="宋体"/>
                <w:b/>
                <w:color w:val="auto"/>
                <w:szCs w:val="21"/>
                <w:highlight w:val="none"/>
              </w:rPr>
              <w:t>投标</w:t>
            </w:r>
            <w:r>
              <w:rPr>
                <w:rFonts w:ascii="宋体" w:hAnsi="宋体"/>
                <w:b/>
                <w:color w:val="auto"/>
                <w:szCs w:val="21"/>
                <w:highlight w:val="none"/>
              </w:rPr>
              <w:t>报价总金额的比例(</w:t>
            </w:r>
            <w:r>
              <w:rPr>
                <w:rFonts w:hint="eastAsia" w:ascii="宋体" w:hAnsi="宋体"/>
                <w:b/>
                <w:color w:val="auto"/>
                <w:szCs w:val="21"/>
                <w:highlight w:val="none"/>
              </w:rPr>
              <w:t>A3</w:t>
            </w:r>
            <w:r>
              <w:rPr>
                <w:rFonts w:ascii="宋体" w:hAnsi="宋体"/>
                <w:b/>
                <w:color w:val="auto"/>
                <w:szCs w:val="21"/>
                <w:highlight w:val="none"/>
              </w:rPr>
              <w:t>=</w:t>
            </w:r>
            <w:r>
              <w:rPr>
                <w:rFonts w:hint="eastAsia" w:ascii="宋体" w:hAnsi="宋体"/>
                <w:b/>
                <w:color w:val="auto"/>
                <w:szCs w:val="21"/>
                <w:highlight w:val="none"/>
              </w:rPr>
              <w:t>A</w:t>
            </w:r>
            <w:r>
              <w:rPr>
                <w:rFonts w:ascii="宋体" w:hAnsi="宋体"/>
                <w:b/>
                <w:color w:val="auto"/>
                <w:szCs w:val="21"/>
                <w:highlight w:val="none"/>
              </w:rPr>
              <w:t>1/</w:t>
            </w:r>
            <w:r>
              <w:rPr>
                <w:rFonts w:hint="eastAsia" w:ascii="宋体" w:hAnsi="宋体"/>
                <w:b/>
                <w:color w:val="auto"/>
                <w:szCs w:val="21"/>
                <w:highlight w:val="none"/>
              </w:rPr>
              <w:t>A2</w:t>
            </w:r>
            <w:r>
              <w:rPr>
                <w:rFonts w:ascii="宋体" w:hAnsi="宋体"/>
                <w:b/>
                <w:color w:val="auto"/>
                <w:szCs w:val="21"/>
                <w:highlight w:val="none"/>
              </w:rPr>
              <w:t>，以%列示)</w:t>
            </w:r>
          </w:p>
        </w:tc>
        <w:tc>
          <w:tcPr>
            <w:tcW w:w="1260" w:type="dxa"/>
            <w:noWrap w:val="0"/>
            <w:vAlign w:val="center"/>
          </w:tcPr>
          <w:p>
            <w:pPr>
              <w:ind w:firstLine="480"/>
              <w:jc w:val="center"/>
              <w:rPr>
                <w:rFonts w:hint="eastAsia" w:ascii="宋体" w:hAnsi="宋体"/>
                <w:color w:val="auto"/>
                <w:szCs w:val="21"/>
                <w:highlight w:val="none"/>
              </w:rPr>
            </w:pPr>
          </w:p>
        </w:tc>
        <w:tc>
          <w:tcPr>
            <w:tcW w:w="1260" w:type="dxa"/>
            <w:noWrap w:val="0"/>
            <w:vAlign w:val="center"/>
          </w:tcPr>
          <w:p>
            <w:pPr>
              <w:rPr>
                <w:rFonts w:hint="eastAsia" w:ascii="宋体" w:hAnsi="宋体"/>
                <w:color w:val="auto"/>
                <w:szCs w:val="21"/>
                <w:highlight w:val="none"/>
              </w:rPr>
            </w:pPr>
            <w:r>
              <w:rPr>
                <w:rFonts w:hint="eastAsia" w:ascii="宋体" w:hAnsi="宋体"/>
                <w:b/>
                <w:color w:val="auto"/>
                <w:szCs w:val="21"/>
                <w:highlight w:val="none"/>
              </w:rPr>
              <w:t>A4:</w:t>
            </w:r>
            <w:r>
              <w:rPr>
                <w:rFonts w:ascii="宋体" w:hAnsi="宋体"/>
                <w:b/>
                <w:color w:val="auto"/>
                <w:szCs w:val="21"/>
                <w:highlight w:val="none"/>
              </w:rPr>
              <w:t>认证数量小计</w:t>
            </w:r>
          </w:p>
        </w:tc>
        <w:tc>
          <w:tcPr>
            <w:tcW w:w="4935" w:type="dxa"/>
            <w:gridSpan w:val="3"/>
            <w:noWrap w:val="0"/>
            <w:vAlign w:val="center"/>
          </w:tcPr>
          <w:p>
            <w:pPr>
              <w:ind w:firstLine="480"/>
              <w:jc w:val="center"/>
              <w:rPr>
                <w:rFonts w:hint="eastAsia" w:ascii="宋体" w:hAnsi="宋体"/>
                <w:color w:val="auto"/>
                <w:szCs w:val="21"/>
                <w:highlight w:val="none"/>
              </w:rPr>
            </w:pPr>
          </w:p>
        </w:tc>
      </w:tr>
    </w:tbl>
    <w:p>
      <w:pPr>
        <w:tabs>
          <w:tab w:val="left" w:pos="13000"/>
        </w:tabs>
        <w:spacing w:line="300" w:lineRule="exact"/>
        <w:ind w:firstLine="420" w:firstLineChars="200"/>
        <w:rPr>
          <w:rFonts w:hint="eastAsia" w:ascii="宋体" w:hAnsi="宋体"/>
          <w:color w:val="auto"/>
          <w:szCs w:val="21"/>
          <w:highlight w:val="none"/>
        </w:rPr>
      </w:pPr>
    </w:p>
    <w:p>
      <w:pPr>
        <w:tabs>
          <w:tab w:val="left" w:pos="13000"/>
        </w:tabs>
        <w:spacing w:line="300" w:lineRule="exact"/>
        <w:ind w:firstLine="420" w:firstLineChars="200"/>
        <w:rPr>
          <w:rFonts w:hint="eastAsia" w:ascii="宋体" w:hAnsi="宋体"/>
          <w:color w:val="auto"/>
          <w:szCs w:val="21"/>
          <w:highlight w:val="none"/>
        </w:rPr>
      </w:pPr>
    </w:p>
    <w:p>
      <w:pPr>
        <w:tabs>
          <w:tab w:val="left" w:pos="13000"/>
        </w:tabs>
        <w:spacing w:line="300" w:lineRule="exact"/>
        <w:ind w:firstLine="420" w:firstLineChars="200"/>
        <w:rPr>
          <w:rFonts w:hint="eastAsia" w:ascii="宋体" w:hAnsi="宋体"/>
          <w:color w:val="auto"/>
          <w:szCs w:val="21"/>
          <w:highlight w:val="none"/>
        </w:rPr>
      </w:pPr>
    </w:p>
    <w:p>
      <w:pPr>
        <w:tabs>
          <w:tab w:val="left" w:pos="13000"/>
        </w:tabs>
        <w:spacing w:line="300" w:lineRule="exact"/>
        <w:ind w:firstLine="420" w:firstLineChars="200"/>
        <w:rPr>
          <w:rFonts w:hint="eastAsia" w:ascii="宋体" w:hAnsi="宋体"/>
          <w:color w:val="auto"/>
          <w:szCs w:val="21"/>
          <w:highlight w:val="none"/>
        </w:rPr>
      </w:pPr>
    </w:p>
    <w:p>
      <w:pPr>
        <w:tabs>
          <w:tab w:val="left" w:pos="13000"/>
        </w:tabs>
        <w:spacing w:line="300" w:lineRule="exact"/>
        <w:ind w:firstLine="420" w:firstLineChars="200"/>
        <w:rPr>
          <w:rFonts w:hint="eastAsia" w:ascii="宋体" w:hAnsi="宋体"/>
          <w:color w:val="auto"/>
          <w:szCs w:val="21"/>
          <w:highlight w:val="none"/>
        </w:rPr>
      </w:pPr>
    </w:p>
    <w:p>
      <w:pPr>
        <w:tabs>
          <w:tab w:val="left" w:pos="13000"/>
        </w:tabs>
        <w:spacing w:line="300" w:lineRule="exact"/>
        <w:ind w:firstLine="420" w:firstLineChars="200"/>
        <w:rPr>
          <w:rFonts w:hint="eastAsia" w:ascii="宋体" w:hAnsi="宋体"/>
          <w:color w:val="auto"/>
          <w:szCs w:val="21"/>
          <w:highlight w:val="none"/>
        </w:rPr>
      </w:pPr>
    </w:p>
    <w:p>
      <w:pPr>
        <w:tabs>
          <w:tab w:val="left" w:pos="13000"/>
        </w:tabs>
        <w:spacing w:line="300" w:lineRule="exact"/>
        <w:ind w:firstLine="420" w:firstLineChars="200"/>
        <w:rPr>
          <w:rFonts w:hint="eastAsia" w:ascii="宋体" w:hAnsi="宋体"/>
          <w:color w:val="auto"/>
          <w:szCs w:val="21"/>
          <w:highlight w:val="none"/>
        </w:rPr>
      </w:pPr>
    </w:p>
    <w:p>
      <w:pPr>
        <w:tabs>
          <w:tab w:val="left" w:pos="13000"/>
        </w:tabs>
        <w:spacing w:line="300" w:lineRule="exact"/>
        <w:ind w:firstLine="420" w:firstLineChars="200"/>
        <w:rPr>
          <w:rFonts w:hint="eastAsia" w:ascii="宋体" w:hAnsi="宋体"/>
          <w:color w:val="auto"/>
          <w:szCs w:val="21"/>
          <w:highlight w:val="none"/>
        </w:rPr>
      </w:pPr>
    </w:p>
    <w:p>
      <w:pPr>
        <w:tabs>
          <w:tab w:val="left" w:pos="13000"/>
        </w:tabs>
        <w:spacing w:line="300" w:lineRule="exact"/>
        <w:ind w:firstLine="420" w:firstLineChars="200"/>
        <w:rPr>
          <w:rFonts w:hint="eastAsia" w:ascii="宋体" w:hAnsi="宋体"/>
          <w:color w:val="auto"/>
          <w:szCs w:val="21"/>
          <w:highlight w:val="none"/>
        </w:rPr>
      </w:pPr>
    </w:p>
    <w:p>
      <w:pPr>
        <w:tabs>
          <w:tab w:val="left" w:pos="13000"/>
        </w:tabs>
        <w:spacing w:line="300" w:lineRule="exact"/>
        <w:ind w:firstLine="420" w:firstLineChars="200"/>
        <w:rPr>
          <w:rFonts w:hint="eastAsia" w:ascii="宋体" w:hAnsi="宋体"/>
          <w:color w:val="auto"/>
          <w:szCs w:val="21"/>
          <w:highlight w:val="none"/>
        </w:rPr>
      </w:pPr>
    </w:p>
    <w:p>
      <w:pPr>
        <w:tabs>
          <w:tab w:val="left" w:pos="13000"/>
        </w:tabs>
        <w:spacing w:line="300" w:lineRule="exact"/>
        <w:ind w:firstLine="420" w:firstLineChars="200"/>
        <w:rPr>
          <w:rFonts w:hint="eastAsia" w:ascii="宋体" w:hAnsi="宋体"/>
          <w:color w:val="auto"/>
          <w:szCs w:val="21"/>
          <w:highlight w:val="none"/>
        </w:rPr>
      </w:pPr>
    </w:p>
    <w:p>
      <w:pPr>
        <w:tabs>
          <w:tab w:val="left" w:pos="13000"/>
        </w:tabs>
        <w:spacing w:line="300" w:lineRule="exact"/>
        <w:ind w:firstLine="420" w:firstLineChars="200"/>
        <w:rPr>
          <w:rFonts w:hint="eastAsia" w:ascii="宋体" w:hAnsi="宋体"/>
          <w:color w:val="auto"/>
          <w:szCs w:val="21"/>
          <w:highlight w:val="none"/>
        </w:rPr>
      </w:pPr>
    </w:p>
    <w:p>
      <w:pPr>
        <w:tabs>
          <w:tab w:val="left" w:pos="13000"/>
        </w:tabs>
        <w:spacing w:line="300" w:lineRule="exact"/>
        <w:ind w:firstLine="420" w:firstLineChars="200"/>
        <w:rPr>
          <w:rFonts w:hint="eastAsia" w:ascii="宋体" w:hAnsi="宋体"/>
          <w:color w:val="auto"/>
          <w:szCs w:val="21"/>
          <w:highlight w:val="none"/>
        </w:rPr>
      </w:pPr>
    </w:p>
    <w:p>
      <w:pPr>
        <w:tabs>
          <w:tab w:val="left" w:pos="13000"/>
        </w:tabs>
        <w:spacing w:line="300" w:lineRule="exact"/>
        <w:rPr>
          <w:rFonts w:ascii="宋体" w:hAnsi="宋体"/>
          <w:color w:val="auto"/>
          <w:szCs w:val="21"/>
          <w:highlight w:val="none"/>
        </w:rPr>
      </w:pPr>
      <w:r>
        <w:rPr>
          <w:rFonts w:hint="eastAsia" w:ascii="宋体" w:hAnsi="宋体"/>
          <w:color w:val="auto"/>
          <w:szCs w:val="21"/>
          <w:highlight w:val="none"/>
        </w:rPr>
        <w:t>注：1.本</w:t>
      </w:r>
      <w:r>
        <w:rPr>
          <w:rFonts w:ascii="宋体" w:hAnsi="宋体"/>
          <w:color w:val="auto"/>
          <w:szCs w:val="21"/>
          <w:highlight w:val="none"/>
        </w:rPr>
        <w:t>表以合同包为单位，不同合同包请分别填写，同一合同包请按照该合同包的品目号顺序</w:t>
      </w:r>
      <w:r>
        <w:rPr>
          <w:rFonts w:hint="eastAsia" w:ascii="宋体" w:hAnsi="宋体"/>
          <w:color w:val="auto"/>
          <w:szCs w:val="21"/>
          <w:highlight w:val="none"/>
        </w:rPr>
        <w:t>、所属清单类别顺序</w:t>
      </w:r>
      <w:r>
        <w:rPr>
          <w:rFonts w:ascii="宋体" w:hAnsi="宋体"/>
          <w:color w:val="auto"/>
          <w:szCs w:val="21"/>
          <w:highlight w:val="none"/>
        </w:rPr>
        <w:t>分别填写。</w:t>
      </w:r>
    </w:p>
    <w:p>
      <w:pPr>
        <w:spacing w:line="300" w:lineRule="exact"/>
        <w:ind w:right="729" w:rightChars="347" w:firstLine="420" w:firstLineChars="200"/>
        <w:rPr>
          <w:rFonts w:hint="eastAsia" w:ascii="宋体" w:hAnsi="宋体"/>
          <w:color w:val="auto"/>
          <w:szCs w:val="21"/>
          <w:highlight w:val="none"/>
        </w:rPr>
      </w:pPr>
      <w:r>
        <w:rPr>
          <w:rFonts w:hint="eastAsia" w:ascii="宋体" w:hAnsi="宋体"/>
          <w:color w:val="auto"/>
          <w:szCs w:val="21"/>
          <w:highlight w:val="none"/>
        </w:rPr>
        <w:t>2.本项目</w:t>
      </w:r>
      <w:r>
        <w:rPr>
          <w:rFonts w:hint="eastAsia" w:ascii="宋体" w:hAnsi="宋体" w:cs="Tahoma"/>
          <w:color w:val="auto"/>
          <w:szCs w:val="21"/>
          <w:highlight w:val="none"/>
        </w:rPr>
        <w:t>采用综合评分法，同一产品如同时属于</w:t>
      </w:r>
      <w:r>
        <w:rPr>
          <w:rFonts w:hint="eastAsia" w:ascii="宋体" w:hAnsi="宋体"/>
          <w:color w:val="auto"/>
          <w:szCs w:val="21"/>
          <w:highlight w:val="none"/>
        </w:rPr>
        <w:t>节能（非强制类）、环境标志目录的，应按所属清单类别分别在表中罗列。但同一产品同属财政部、福建省相关部门公布的同类产品目录，在本表中不重复罗列。</w:t>
      </w:r>
      <w:r>
        <w:rPr>
          <w:rFonts w:hint="eastAsia" w:ascii="宋体" w:hAnsi="宋体"/>
          <w:b/>
          <w:color w:val="auto"/>
          <w:szCs w:val="21"/>
          <w:highlight w:val="none"/>
        </w:rPr>
        <w:t>表中品目号、清单产品名称及所属清单类别栏中填写的内容仅为示例，投标人填写此表时应清除，根据所投产品的实际情况制作。</w:t>
      </w:r>
    </w:p>
    <w:p>
      <w:pPr>
        <w:spacing w:line="3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 栏目7所属清单类别系指“节能（非强制类）”、“环境标志”类别。</w:t>
      </w:r>
    </w:p>
    <w:p>
      <w:pPr>
        <w:spacing w:line="300" w:lineRule="exact"/>
        <w:ind w:right="624" w:rightChars="297" w:firstLine="420" w:firstLineChars="200"/>
        <w:rPr>
          <w:rFonts w:hint="eastAsia" w:ascii="宋体" w:hAnsi="宋体"/>
          <w:color w:val="auto"/>
          <w:szCs w:val="21"/>
          <w:highlight w:val="none"/>
        </w:rPr>
      </w:pPr>
      <w:r>
        <w:rPr>
          <w:rFonts w:hint="eastAsia" w:ascii="宋体" w:hAnsi="宋体"/>
          <w:color w:val="auto"/>
          <w:szCs w:val="21"/>
          <w:highlight w:val="none"/>
        </w:rPr>
        <w:t xml:space="preserve">4. 栏目6为栏目4×栏目5；A1项为栏品6的合计数；A2项金额应与开标一览表投标总价金额一致；A4项为各类认证证书的合计数，数量应与栏目9认证证书编号栏的合计数一致。 </w:t>
      </w:r>
    </w:p>
    <w:p>
      <w:pPr>
        <w:spacing w:line="300" w:lineRule="exact"/>
        <w:ind w:right="624" w:rightChars="297" w:firstLine="420" w:firstLineChars="200"/>
        <w:rPr>
          <w:rFonts w:hint="eastAsia" w:ascii="宋体" w:hAnsi="宋体"/>
          <w:color w:val="auto"/>
          <w:szCs w:val="21"/>
          <w:highlight w:val="none"/>
        </w:rPr>
      </w:pPr>
      <w:r>
        <w:rPr>
          <w:rFonts w:hint="eastAsia" w:ascii="宋体" w:hAnsi="宋体"/>
          <w:color w:val="auto"/>
          <w:szCs w:val="21"/>
          <w:highlight w:val="none"/>
        </w:rPr>
        <w:t xml:space="preserve">5. 后附相关证明材料，未附证明材料或未详细填写本表将不予价格扣除。  </w:t>
      </w:r>
    </w:p>
    <w:p>
      <w:pPr>
        <w:spacing w:line="300" w:lineRule="exact"/>
        <w:ind w:right="624" w:rightChars="297" w:firstLine="420" w:firstLineChars="200"/>
        <w:rPr>
          <w:rFonts w:hint="eastAsia" w:ascii="宋体" w:hAnsi="宋体"/>
          <w:color w:val="auto"/>
          <w:szCs w:val="21"/>
          <w:highlight w:val="none"/>
          <w:u w:val="single"/>
        </w:rPr>
      </w:pPr>
      <w:r>
        <w:rPr>
          <w:rFonts w:hint="eastAsia" w:ascii="宋体" w:hAnsi="宋体"/>
          <w:color w:val="auto"/>
          <w:szCs w:val="21"/>
          <w:highlight w:val="none"/>
        </w:rPr>
        <w:t xml:space="preserve">投标人代表签字： </w:t>
      </w:r>
      <w:r>
        <w:rPr>
          <w:rFonts w:hint="eastAsia" w:ascii="宋体" w:hAnsi="宋体"/>
          <w:color w:val="auto"/>
          <w:szCs w:val="21"/>
          <w:highlight w:val="none"/>
          <w:u w:val="single"/>
        </w:rPr>
        <w:t xml:space="preserve">                </w:t>
      </w:r>
    </w:p>
    <w:p>
      <w:pPr>
        <w:spacing w:line="380" w:lineRule="exact"/>
        <w:rPr>
          <w:rFonts w:ascii="宋体" w:hAnsi="宋体"/>
          <w:b/>
          <w:color w:val="auto"/>
          <w:szCs w:val="21"/>
          <w:highlight w:val="none"/>
        </w:rPr>
        <w:sectPr>
          <w:footerReference r:id="rId5" w:type="first"/>
          <w:footerReference r:id="rId4" w:type="default"/>
          <w:pgSz w:w="16840" w:h="11907" w:orient="landscape"/>
          <w:pgMar w:top="1752" w:right="1440" w:bottom="1752" w:left="1440" w:header="851" w:footer="992" w:gutter="0"/>
          <w:pgNumType w:fmt="decimal" w:start="85"/>
          <w:cols w:space="720" w:num="1"/>
          <w:titlePg/>
          <w:docGrid w:linePitch="323" w:charSpace="-2"/>
        </w:sectPr>
      </w:pPr>
    </w:p>
    <w:p>
      <w:pPr>
        <w:tabs>
          <w:tab w:val="left" w:pos="900"/>
        </w:tabs>
        <w:spacing w:line="6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13-3-2、中小、微企业相关材料</w:t>
      </w:r>
    </w:p>
    <w:p>
      <w:pPr>
        <w:tabs>
          <w:tab w:val="left" w:pos="900"/>
        </w:tabs>
        <w:spacing w:line="620" w:lineRule="exact"/>
        <w:jc w:val="center"/>
        <w:rPr>
          <w:rFonts w:hint="eastAsia" w:ascii="宋体" w:hAnsi="宋体"/>
          <w:b/>
          <w:color w:val="auto"/>
          <w:sz w:val="32"/>
          <w:szCs w:val="32"/>
          <w:highlight w:val="none"/>
        </w:rPr>
      </w:pPr>
    </w:p>
    <w:p>
      <w:pPr>
        <w:tabs>
          <w:tab w:val="left" w:pos="900"/>
        </w:tabs>
        <w:spacing w:line="620" w:lineRule="exact"/>
        <w:jc w:val="center"/>
        <w:outlineLvl w:val="0"/>
        <w:rPr>
          <w:rFonts w:hint="eastAsia" w:ascii="宋体" w:hAnsi="宋体"/>
          <w:b/>
          <w:color w:val="auto"/>
          <w:sz w:val="30"/>
          <w:szCs w:val="30"/>
          <w:highlight w:val="none"/>
        </w:rPr>
      </w:pPr>
      <w:bookmarkStart w:id="73" w:name="_Toc9382"/>
      <w:bookmarkStart w:id="74" w:name="_Toc10384"/>
      <w:r>
        <w:rPr>
          <w:rFonts w:hint="eastAsia" w:ascii="宋体" w:hAnsi="宋体"/>
          <w:b/>
          <w:color w:val="auto"/>
          <w:sz w:val="30"/>
          <w:szCs w:val="30"/>
          <w:highlight w:val="none"/>
        </w:rPr>
        <w:t>13-3-2-1、中小企业声明函</w:t>
      </w:r>
      <w:bookmarkEnd w:id="73"/>
      <w:bookmarkEnd w:id="74"/>
    </w:p>
    <w:p>
      <w:pPr>
        <w:tabs>
          <w:tab w:val="left" w:pos="900"/>
        </w:tabs>
        <w:spacing w:line="700" w:lineRule="exact"/>
        <w:ind w:firstLine="525" w:firstLineChars="250"/>
        <w:rPr>
          <w:rFonts w:hint="eastAsia" w:ascii="宋体" w:hAnsi="宋体"/>
          <w:color w:val="auto"/>
          <w:highlight w:val="none"/>
        </w:rPr>
      </w:pPr>
      <w:r>
        <w:rPr>
          <w:rFonts w:hint="eastAsia" w:ascii="宋体" w:hAnsi="宋体"/>
          <w:color w:val="auto"/>
          <w:highlight w:val="none"/>
        </w:rPr>
        <w:t>本公司郑重声明，根据</w:t>
      </w:r>
      <w:r>
        <w:rPr>
          <w:rFonts w:hint="eastAsia" w:ascii="宋体" w:hAnsi="宋体"/>
          <w:color w:val="auto"/>
          <w:highlight w:val="none"/>
          <w:lang w:eastAsia="zh-CN"/>
        </w:rPr>
        <w:t>《政府采购促进中小企业发展管理办法》（财库【2020】46号）</w:t>
      </w:r>
      <w:r>
        <w:rPr>
          <w:rFonts w:hint="eastAsia" w:ascii="宋体" w:hAnsi="宋体"/>
          <w:color w:val="auto"/>
          <w:highlight w:val="none"/>
        </w:rPr>
        <w:t>的规定，本公司为</w:t>
      </w:r>
      <w:r>
        <w:rPr>
          <w:rFonts w:hint="eastAsia" w:ascii="宋体" w:hAnsi="宋体"/>
          <w:color w:val="auto"/>
          <w:highlight w:val="none"/>
          <w:u w:val="single"/>
        </w:rPr>
        <w:t xml:space="preserve">        </w:t>
      </w:r>
      <w:r>
        <w:rPr>
          <w:rFonts w:hint="eastAsia" w:ascii="宋体" w:hAnsi="宋体"/>
          <w:color w:val="auto"/>
          <w:highlight w:val="none"/>
        </w:rPr>
        <w:t xml:space="preserve"> （请填写：中型、小型、微型）企业。即，本公司同时满足以下条件：</w:t>
      </w:r>
    </w:p>
    <w:p>
      <w:pPr>
        <w:tabs>
          <w:tab w:val="left" w:pos="900"/>
        </w:tabs>
        <w:spacing w:line="700" w:lineRule="exact"/>
        <w:ind w:firstLine="210" w:firstLineChars="100"/>
        <w:rPr>
          <w:rFonts w:hint="eastAsia" w:ascii="宋体" w:hAnsi="宋体"/>
          <w:color w:val="auto"/>
          <w:highlight w:val="none"/>
        </w:rPr>
      </w:pPr>
      <w:r>
        <w:rPr>
          <w:rFonts w:hint="eastAsia" w:ascii="宋体" w:hAnsi="宋体"/>
          <w:color w:val="auto"/>
          <w:highlight w:val="none"/>
        </w:rPr>
        <w:t xml:space="preserve"> 1.根据《工业和信息化部、国家统计局、国家发展和改革委员会、财政部关于印发中小企业划型标准规定的通知》（工信部联企业〔2011〕300号）规定的划分标准，本公司为</w:t>
      </w:r>
      <w:r>
        <w:rPr>
          <w:rFonts w:hint="eastAsia" w:ascii="宋体" w:hAnsi="宋体"/>
          <w:color w:val="auto"/>
          <w:highlight w:val="none"/>
          <w:u w:val="single"/>
        </w:rPr>
        <w:t xml:space="preserve">       </w:t>
      </w:r>
      <w:r>
        <w:rPr>
          <w:rFonts w:hint="eastAsia" w:ascii="宋体" w:hAnsi="宋体"/>
          <w:color w:val="auto"/>
          <w:highlight w:val="none"/>
        </w:rPr>
        <w:t xml:space="preserve"> （请填写：中型、小型、微型）企业。</w:t>
      </w:r>
    </w:p>
    <w:p>
      <w:pPr>
        <w:tabs>
          <w:tab w:val="left" w:pos="900"/>
        </w:tabs>
        <w:spacing w:line="700" w:lineRule="exact"/>
        <w:ind w:firstLine="315" w:firstLineChars="150"/>
        <w:rPr>
          <w:rFonts w:hint="eastAsia" w:ascii="宋体" w:hAnsi="宋体"/>
          <w:color w:val="auto"/>
          <w:highlight w:val="none"/>
          <w:u w:val="single"/>
        </w:rPr>
      </w:pPr>
      <w:r>
        <w:rPr>
          <w:rFonts w:hint="eastAsia" w:ascii="宋体" w:hAnsi="宋体"/>
          <w:color w:val="auto"/>
          <w:highlight w:val="none"/>
        </w:rPr>
        <w:t>2.本公司参加</w:t>
      </w:r>
      <w:r>
        <w:rPr>
          <w:rFonts w:hint="eastAsia" w:ascii="宋体" w:hAnsi="宋体"/>
          <w:color w:val="auto"/>
          <w:highlight w:val="none"/>
          <w:u w:val="single"/>
        </w:rPr>
        <w:t xml:space="preserve">              </w:t>
      </w:r>
      <w:r>
        <w:rPr>
          <w:rFonts w:hint="eastAsia" w:ascii="宋体" w:hAnsi="宋体"/>
          <w:color w:val="auto"/>
          <w:highlight w:val="none"/>
        </w:rPr>
        <w:t xml:space="preserve"> 单位的</w:t>
      </w:r>
      <w:r>
        <w:rPr>
          <w:rFonts w:hint="eastAsia" w:ascii="宋体" w:hAnsi="宋体"/>
          <w:color w:val="auto"/>
          <w:highlight w:val="none"/>
          <w:u w:val="single"/>
        </w:rPr>
        <w:t xml:space="preserve">             </w:t>
      </w:r>
      <w:r>
        <w:rPr>
          <w:rFonts w:hint="eastAsia" w:ascii="宋体" w:hAnsi="宋体"/>
          <w:color w:val="auto"/>
          <w:highlight w:val="none"/>
        </w:rPr>
        <w:t xml:space="preserve">项目采购活动提供本企业制造的货物，由本企业承担工程、提供服务，或者提供其他 </w:t>
      </w:r>
      <w:r>
        <w:rPr>
          <w:rFonts w:hint="eastAsia" w:ascii="宋体" w:hAnsi="宋体"/>
          <w:color w:val="auto"/>
          <w:highlight w:val="none"/>
          <w:u w:val="single"/>
        </w:rPr>
        <w:t xml:space="preserve">                （请填写：中型、小型、微型）企业制造的货物。本条所称货物不包括使用大型企业注册商标的货物。</w:t>
      </w:r>
    </w:p>
    <w:p>
      <w:pPr>
        <w:tabs>
          <w:tab w:val="left" w:pos="900"/>
        </w:tabs>
        <w:spacing w:line="700" w:lineRule="exact"/>
        <w:ind w:firstLine="210" w:firstLineChars="100"/>
        <w:rPr>
          <w:rFonts w:hint="eastAsia" w:ascii="宋体" w:hAnsi="宋体"/>
          <w:color w:val="auto"/>
          <w:highlight w:val="none"/>
        </w:rPr>
      </w:pPr>
      <w:r>
        <w:rPr>
          <w:rFonts w:hint="eastAsia" w:ascii="宋体" w:hAnsi="宋体"/>
          <w:color w:val="auto"/>
          <w:highlight w:val="none"/>
        </w:rPr>
        <w:t>本公司对上述声明的真实性负责。如有虚假，将依法承担相应责任。</w:t>
      </w:r>
    </w:p>
    <w:p>
      <w:pPr>
        <w:tabs>
          <w:tab w:val="left" w:pos="900"/>
        </w:tabs>
        <w:spacing w:line="700" w:lineRule="exact"/>
        <w:ind w:firstLine="210" w:firstLineChars="100"/>
        <w:rPr>
          <w:rFonts w:hint="eastAsia" w:ascii="宋体" w:hAnsi="宋体"/>
          <w:color w:val="auto"/>
          <w:highlight w:val="none"/>
        </w:rPr>
      </w:pPr>
    </w:p>
    <w:p>
      <w:pPr>
        <w:tabs>
          <w:tab w:val="left" w:pos="900"/>
        </w:tabs>
        <w:spacing w:line="700" w:lineRule="exact"/>
        <w:ind w:firstLine="210" w:firstLineChars="100"/>
        <w:rPr>
          <w:rFonts w:hint="eastAsia" w:ascii="宋体" w:hAnsi="宋体"/>
          <w:color w:val="auto"/>
          <w:highlight w:val="none"/>
        </w:rPr>
      </w:pPr>
      <w:r>
        <w:rPr>
          <w:rFonts w:hint="eastAsia" w:ascii="宋体" w:hAnsi="宋体"/>
          <w:color w:val="auto"/>
          <w:highlight w:val="none"/>
        </w:rPr>
        <w:t xml:space="preserve">                                              企业名称（盖章）：</w:t>
      </w:r>
    </w:p>
    <w:p>
      <w:pPr>
        <w:tabs>
          <w:tab w:val="left" w:pos="900"/>
        </w:tabs>
        <w:spacing w:line="700" w:lineRule="exact"/>
        <w:ind w:firstLine="210" w:firstLineChars="100"/>
        <w:rPr>
          <w:rFonts w:hint="eastAsia" w:ascii="宋体" w:hAnsi="宋体"/>
          <w:color w:val="auto"/>
          <w:highlight w:val="none"/>
        </w:rPr>
      </w:pPr>
      <w:r>
        <w:rPr>
          <w:rFonts w:hint="eastAsia" w:ascii="宋体" w:hAnsi="宋体"/>
          <w:color w:val="auto"/>
          <w:highlight w:val="none"/>
        </w:rPr>
        <w:t xml:space="preserve">                                                        日期：                </w:t>
      </w:r>
    </w:p>
    <w:p>
      <w:pPr>
        <w:rPr>
          <w:rFonts w:hint="eastAsia" w:ascii="宋体" w:hAnsi="宋体"/>
          <w:color w:val="auto"/>
          <w:highlight w:val="none"/>
        </w:rPr>
      </w:pPr>
    </w:p>
    <w:p>
      <w:pPr>
        <w:spacing w:line="360" w:lineRule="auto"/>
        <w:rPr>
          <w:rFonts w:hint="eastAsia" w:ascii="宋体" w:hAnsi="宋体"/>
          <w:color w:val="auto"/>
          <w:szCs w:val="21"/>
          <w:highlight w:val="none"/>
          <w:u w:val="single"/>
        </w:rPr>
      </w:pPr>
    </w:p>
    <w:p>
      <w:pPr>
        <w:tabs>
          <w:tab w:val="left" w:pos="900"/>
        </w:tabs>
        <w:spacing w:line="620" w:lineRule="exact"/>
        <w:rPr>
          <w:rFonts w:hint="eastAsia" w:ascii="宋体" w:hAnsi="宋体"/>
          <w:b/>
          <w:color w:val="auto"/>
          <w:sz w:val="32"/>
          <w:szCs w:val="32"/>
          <w:highlight w:val="none"/>
        </w:rPr>
        <w:sectPr>
          <w:pgSz w:w="11907" w:h="16840"/>
          <w:pgMar w:top="1440" w:right="1752" w:bottom="1440" w:left="1752" w:header="851" w:footer="992" w:gutter="0"/>
          <w:pgNumType w:fmt="decimal"/>
          <w:cols w:space="720" w:num="1"/>
          <w:titlePg/>
          <w:docGrid w:linePitch="323" w:charSpace="-2"/>
        </w:sectPr>
      </w:pPr>
    </w:p>
    <w:p>
      <w:pPr>
        <w:tabs>
          <w:tab w:val="left" w:pos="900"/>
        </w:tabs>
        <w:spacing w:line="500" w:lineRule="exact"/>
        <w:jc w:val="center"/>
        <w:outlineLvl w:val="0"/>
        <w:rPr>
          <w:rFonts w:hint="eastAsia" w:ascii="宋体" w:hAnsi="宋体"/>
          <w:b/>
          <w:color w:val="auto"/>
          <w:sz w:val="30"/>
          <w:szCs w:val="30"/>
          <w:highlight w:val="none"/>
        </w:rPr>
      </w:pPr>
      <w:bookmarkStart w:id="75" w:name="_Toc11279"/>
      <w:bookmarkStart w:id="76" w:name="_Toc16804"/>
      <w:r>
        <w:rPr>
          <w:rFonts w:hint="eastAsia" w:ascii="宋体" w:hAnsi="宋体"/>
          <w:b/>
          <w:color w:val="auto"/>
          <w:sz w:val="30"/>
          <w:szCs w:val="30"/>
          <w:highlight w:val="none"/>
        </w:rPr>
        <w:t>3-3-2-2、小</w:t>
      </w:r>
      <w:r>
        <w:rPr>
          <w:rFonts w:hint="eastAsia" w:ascii="宋体" w:hAnsi="宋体"/>
          <w:b/>
          <w:color w:val="auto"/>
          <w:sz w:val="32"/>
          <w:szCs w:val="32"/>
          <w:highlight w:val="none"/>
        </w:rPr>
        <w:t>、微企业</w:t>
      </w:r>
      <w:r>
        <w:rPr>
          <w:rFonts w:hint="eastAsia" w:ascii="宋体" w:hAnsi="宋体"/>
          <w:b/>
          <w:color w:val="auto"/>
          <w:sz w:val="30"/>
          <w:szCs w:val="30"/>
          <w:highlight w:val="none"/>
        </w:rPr>
        <w:t>产品明细表</w:t>
      </w:r>
      <w:bookmarkEnd w:id="75"/>
      <w:bookmarkEnd w:id="76"/>
    </w:p>
    <w:p>
      <w:pPr>
        <w:spacing w:line="380" w:lineRule="exact"/>
        <w:rPr>
          <w:rFonts w:hint="eastAsia" w:ascii="宋体" w:hAnsi="宋体"/>
          <w:color w:val="auto"/>
          <w:szCs w:val="21"/>
          <w:highlight w:val="none"/>
        </w:rPr>
      </w:pPr>
      <w:r>
        <w:rPr>
          <w:rFonts w:hint="eastAsia" w:ascii="宋体" w:hAnsi="宋体"/>
          <w:color w:val="auto"/>
          <w:szCs w:val="21"/>
          <w:highlight w:val="none"/>
        </w:rPr>
        <w:t>投标人名称（公章）：</w:t>
      </w:r>
      <w:r>
        <w:rPr>
          <w:rFonts w:hint="eastAsia" w:ascii="宋体" w:hAnsi="宋体"/>
          <w:color w:val="auto"/>
          <w:sz w:val="24"/>
          <w:highlight w:val="none"/>
        </w:rPr>
        <w:t xml:space="preserve">          </w:t>
      </w:r>
      <w:r>
        <w:rPr>
          <w:rFonts w:hint="eastAsia" w:ascii="宋体" w:hAnsi="宋体"/>
          <w:color w:val="auto"/>
          <w:szCs w:val="21"/>
          <w:highlight w:val="none"/>
        </w:rPr>
        <w:t xml:space="preserve">                                     项目编号：               </w:t>
      </w:r>
    </w:p>
    <w:tbl>
      <w:tblPr>
        <w:tblStyle w:val="1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636"/>
        <w:gridCol w:w="1115"/>
        <w:gridCol w:w="736"/>
        <w:gridCol w:w="812"/>
        <w:gridCol w:w="812"/>
        <w:gridCol w:w="1268"/>
        <w:gridCol w:w="1422"/>
        <w:gridCol w:w="584"/>
        <w:gridCol w:w="816"/>
        <w:gridCol w:w="1040"/>
        <w:gridCol w:w="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 w:type="pc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1</w:t>
            </w:r>
          </w:p>
        </w:tc>
        <w:tc>
          <w:tcPr>
            <w:tcW w:w="259" w:type="pc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2</w:t>
            </w:r>
          </w:p>
        </w:tc>
        <w:tc>
          <w:tcPr>
            <w:tcW w:w="559" w:type="pc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3</w:t>
            </w:r>
          </w:p>
        </w:tc>
        <w:tc>
          <w:tcPr>
            <w:tcW w:w="373" w:type="pc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4</w:t>
            </w:r>
          </w:p>
        </w:tc>
        <w:tc>
          <w:tcPr>
            <w:tcW w:w="410" w:type="pc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5</w:t>
            </w:r>
          </w:p>
        </w:tc>
        <w:tc>
          <w:tcPr>
            <w:tcW w:w="410" w:type="pc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6</w:t>
            </w:r>
          </w:p>
        </w:tc>
        <w:tc>
          <w:tcPr>
            <w:tcW w:w="634" w:type="pc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7</w:t>
            </w:r>
          </w:p>
        </w:tc>
        <w:tc>
          <w:tcPr>
            <w:tcW w:w="709" w:type="pc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8</w:t>
            </w:r>
          </w:p>
        </w:tc>
        <w:tc>
          <w:tcPr>
            <w:tcW w:w="298" w:type="pc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9</w:t>
            </w:r>
          </w:p>
        </w:tc>
        <w:tc>
          <w:tcPr>
            <w:tcW w:w="410" w:type="pc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10</w:t>
            </w:r>
          </w:p>
        </w:tc>
        <w:tc>
          <w:tcPr>
            <w:tcW w:w="522" w:type="pc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11</w:t>
            </w:r>
          </w:p>
        </w:tc>
        <w:tc>
          <w:tcPr>
            <w:tcW w:w="261" w:type="pc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7" w:hRule="atLeast"/>
        </w:trPr>
        <w:tc>
          <w:tcPr>
            <w:tcW w:w="151" w:type="pct"/>
            <w:vMerge w:val="restart"/>
            <w:noWrap w:val="0"/>
            <w:vAlign w:val="center"/>
          </w:tcPr>
          <w:p>
            <w:pPr>
              <w:jc w:val="center"/>
              <w:rPr>
                <w:rFonts w:ascii="宋体" w:hAnsi="宋体"/>
                <w:b/>
                <w:color w:val="auto"/>
                <w:szCs w:val="21"/>
                <w:highlight w:val="none"/>
              </w:rPr>
            </w:pPr>
            <w:r>
              <w:rPr>
                <w:rFonts w:hint="eastAsia" w:ascii="宋体" w:hAnsi="宋体"/>
                <w:b/>
                <w:color w:val="auto"/>
                <w:szCs w:val="21"/>
                <w:highlight w:val="none"/>
              </w:rPr>
              <w:t>合同号</w:t>
            </w:r>
          </w:p>
        </w:tc>
        <w:tc>
          <w:tcPr>
            <w:tcW w:w="259" w:type="pct"/>
            <w:vMerge w:val="restart"/>
            <w:noWrap w:val="0"/>
            <w:vAlign w:val="center"/>
          </w:tcPr>
          <w:p>
            <w:pPr>
              <w:jc w:val="center"/>
              <w:rPr>
                <w:rFonts w:ascii="宋体" w:hAnsi="宋体"/>
                <w:b/>
                <w:color w:val="auto"/>
                <w:szCs w:val="21"/>
                <w:highlight w:val="none"/>
              </w:rPr>
            </w:pPr>
            <w:r>
              <w:rPr>
                <w:rFonts w:hint="eastAsia" w:ascii="宋体" w:hAnsi="宋体"/>
                <w:b/>
                <w:color w:val="auto"/>
                <w:szCs w:val="21"/>
                <w:highlight w:val="none"/>
              </w:rPr>
              <w:t>品目号</w:t>
            </w:r>
          </w:p>
        </w:tc>
        <w:tc>
          <w:tcPr>
            <w:tcW w:w="559" w:type="pct"/>
            <w:vMerge w:val="restart"/>
            <w:noWrap w:val="0"/>
            <w:vAlign w:val="center"/>
          </w:tcPr>
          <w:p>
            <w:pPr>
              <w:jc w:val="center"/>
              <w:rPr>
                <w:rFonts w:ascii="宋体" w:hAnsi="宋体"/>
                <w:b/>
                <w:color w:val="auto"/>
                <w:szCs w:val="21"/>
                <w:highlight w:val="none"/>
              </w:rPr>
            </w:pPr>
            <w:r>
              <w:rPr>
                <w:rFonts w:hint="eastAsia" w:ascii="宋体" w:hAnsi="宋体"/>
                <w:b/>
                <w:color w:val="auto"/>
                <w:szCs w:val="21"/>
                <w:highlight w:val="none"/>
              </w:rPr>
              <w:t>货物名称</w:t>
            </w:r>
          </w:p>
        </w:tc>
        <w:tc>
          <w:tcPr>
            <w:tcW w:w="2537" w:type="pct"/>
            <w:gridSpan w:val="5"/>
            <w:noWrap w:val="0"/>
            <w:vAlign w:val="center"/>
          </w:tcPr>
          <w:p>
            <w:pPr>
              <w:jc w:val="center"/>
              <w:rPr>
                <w:rFonts w:ascii="宋体" w:hAnsi="宋体"/>
                <w:b/>
                <w:color w:val="auto"/>
                <w:szCs w:val="21"/>
                <w:highlight w:val="none"/>
              </w:rPr>
            </w:pPr>
            <w:r>
              <w:rPr>
                <w:rFonts w:hint="eastAsia" w:ascii="宋体" w:hAnsi="宋体"/>
                <w:b/>
                <w:color w:val="auto"/>
                <w:szCs w:val="21"/>
                <w:highlight w:val="none"/>
              </w:rPr>
              <w:t>制造商</w:t>
            </w:r>
          </w:p>
        </w:tc>
        <w:tc>
          <w:tcPr>
            <w:tcW w:w="298" w:type="pct"/>
            <w:vMerge w:val="restart"/>
            <w:noWrap w:val="0"/>
            <w:vAlign w:val="center"/>
          </w:tcPr>
          <w:p>
            <w:pPr>
              <w:jc w:val="center"/>
              <w:rPr>
                <w:rFonts w:hint="eastAsia" w:ascii="宋体" w:hAnsi="宋体"/>
                <w:b/>
                <w:color w:val="auto"/>
                <w:szCs w:val="21"/>
                <w:highlight w:val="none"/>
              </w:rPr>
            </w:pPr>
            <w:r>
              <w:rPr>
                <w:rFonts w:hint="eastAsia" w:ascii="宋体" w:hAnsi="宋体"/>
                <w:b/>
                <w:color w:val="auto"/>
                <w:szCs w:val="21"/>
                <w:highlight w:val="none"/>
              </w:rPr>
              <w:t>数量</w:t>
            </w:r>
          </w:p>
        </w:tc>
        <w:tc>
          <w:tcPr>
            <w:tcW w:w="410" w:type="pct"/>
            <w:vMerge w:val="restart"/>
            <w:noWrap w:val="0"/>
            <w:vAlign w:val="center"/>
          </w:tcPr>
          <w:p>
            <w:pPr>
              <w:jc w:val="center"/>
              <w:rPr>
                <w:rFonts w:hint="eastAsia" w:ascii="宋体" w:hAnsi="宋体"/>
                <w:b/>
                <w:color w:val="auto"/>
                <w:szCs w:val="21"/>
                <w:highlight w:val="none"/>
              </w:rPr>
            </w:pPr>
            <w:r>
              <w:rPr>
                <w:rFonts w:hint="eastAsia" w:ascii="宋体" w:hAnsi="宋体"/>
                <w:b/>
                <w:color w:val="auto"/>
                <w:szCs w:val="21"/>
                <w:highlight w:val="none"/>
              </w:rPr>
              <w:t>单价</w:t>
            </w:r>
          </w:p>
        </w:tc>
        <w:tc>
          <w:tcPr>
            <w:tcW w:w="522" w:type="pct"/>
            <w:vMerge w:val="restart"/>
            <w:noWrap w:val="0"/>
            <w:vAlign w:val="center"/>
          </w:tcPr>
          <w:p>
            <w:pPr>
              <w:jc w:val="center"/>
              <w:rPr>
                <w:rFonts w:hint="eastAsia" w:ascii="宋体" w:hAnsi="宋体"/>
                <w:b/>
                <w:color w:val="auto"/>
                <w:szCs w:val="21"/>
                <w:highlight w:val="none"/>
              </w:rPr>
            </w:pPr>
            <w:r>
              <w:rPr>
                <w:rFonts w:hint="eastAsia" w:ascii="宋体" w:hAnsi="宋体"/>
                <w:b/>
                <w:color w:val="auto"/>
                <w:szCs w:val="21"/>
                <w:highlight w:val="none"/>
              </w:rPr>
              <w:t>小计</w:t>
            </w:r>
          </w:p>
        </w:tc>
        <w:tc>
          <w:tcPr>
            <w:tcW w:w="261" w:type="pct"/>
            <w:vMerge w:val="restart"/>
            <w:noWrap w:val="0"/>
            <w:vAlign w:val="center"/>
          </w:tcPr>
          <w:p>
            <w:pPr>
              <w:jc w:val="center"/>
              <w:rPr>
                <w:rFonts w:hint="eastAsia" w:ascii="宋体" w:hAnsi="宋体"/>
                <w:b/>
                <w:color w:val="auto"/>
                <w:szCs w:val="21"/>
                <w:highlight w:val="none"/>
              </w:rPr>
            </w:pPr>
            <w:r>
              <w:rPr>
                <w:rFonts w:hint="eastAsia" w:ascii="宋体" w:hAnsi="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 w:type="pct"/>
            <w:vMerge w:val="continue"/>
            <w:noWrap w:val="0"/>
            <w:vAlign w:val="center"/>
          </w:tcPr>
          <w:p>
            <w:pPr>
              <w:jc w:val="center"/>
              <w:rPr>
                <w:rFonts w:ascii="宋体" w:hAnsi="宋体"/>
                <w:color w:val="auto"/>
                <w:szCs w:val="21"/>
                <w:highlight w:val="none"/>
              </w:rPr>
            </w:pPr>
          </w:p>
        </w:tc>
        <w:tc>
          <w:tcPr>
            <w:tcW w:w="259" w:type="pct"/>
            <w:vMerge w:val="continue"/>
            <w:noWrap w:val="0"/>
            <w:vAlign w:val="center"/>
          </w:tcPr>
          <w:p>
            <w:pPr>
              <w:jc w:val="center"/>
              <w:rPr>
                <w:rFonts w:ascii="宋体" w:hAnsi="宋体"/>
                <w:color w:val="auto"/>
                <w:szCs w:val="21"/>
                <w:highlight w:val="none"/>
              </w:rPr>
            </w:pPr>
          </w:p>
        </w:tc>
        <w:tc>
          <w:tcPr>
            <w:tcW w:w="559" w:type="pct"/>
            <w:vMerge w:val="continue"/>
            <w:noWrap w:val="0"/>
            <w:vAlign w:val="center"/>
          </w:tcPr>
          <w:p>
            <w:pPr>
              <w:jc w:val="center"/>
              <w:rPr>
                <w:rFonts w:ascii="宋体" w:hAnsi="宋体"/>
                <w:color w:val="auto"/>
                <w:szCs w:val="21"/>
                <w:highlight w:val="none"/>
              </w:rPr>
            </w:pPr>
          </w:p>
        </w:tc>
        <w:tc>
          <w:tcPr>
            <w:tcW w:w="373" w:type="pc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名称</w:t>
            </w:r>
          </w:p>
        </w:tc>
        <w:tc>
          <w:tcPr>
            <w:tcW w:w="410" w:type="pc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所属行业</w:t>
            </w:r>
          </w:p>
        </w:tc>
        <w:tc>
          <w:tcPr>
            <w:tcW w:w="410" w:type="pc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指标种类</w:t>
            </w:r>
          </w:p>
        </w:tc>
        <w:tc>
          <w:tcPr>
            <w:tcW w:w="634" w:type="pc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证明材料名称</w:t>
            </w:r>
          </w:p>
        </w:tc>
        <w:tc>
          <w:tcPr>
            <w:tcW w:w="709" w:type="pc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证明材料所在页码</w:t>
            </w:r>
          </w:p>
        </w:tc>
        <w:tc>
          <w:tcPr>
            <w:tcW w:w="298" w:type="pct"/>
            <w:vMerge w:val="continue"/>
            <w:noWrap w:val="0"/>
            <w:vAlign w:val="center"/>
          </w:tcPr>
          <w:p>
            <w:pPr>
              <w:jc w:val="center"/>
              <w:rPr>
                <w:rFonts w:hint="eastAsia" w:ascii="宋体" w:hAnsi="宋体"/>
                <w:color w:val="auto"/>
                <w:szCs w:val="21"/>
                <w:highlight w:val="none"/>
              </w:rPr>
            </w:pPr>
          </w:p>
        </w:tc>
        <w:tc>
          <w:tcPr>
            <w:tcW w:w="410" w:type="pct"/>
            <w:vMerge w:val="continue"/>
            <w:noWrap w:val="0"/>
            <w:vAlign w:val="center"/>
          </w:tcPr>
          <w:p>
            <w:pPr>
              <w:jc w:val="center"/>
              <w:rPr>
                <w:rFonts w:hint="eastAsia" w:ascii="宋体" w:hAnsi="宋体"/>
                <w:color w:val="auto"/>
                <w:szCs w:val="21"/>
                <w:highlight w:val="none"/>
              </w:rPr>
            </w:pPr>
          </w:p>
        </w:tc>
        <w:tc>
          <w:tcPr>
            <w:tcW w:w="522" w:type="pct"/>
            <w:vMerge w:val="continue"/>
            <w:noWrap w:val="0"/>
            <w:vAlign w:val="center"/>
          </w:tcPr>
          <w:p>
            <w:pPr>
              <w:jc w:val="center"/>
              <w:rPr>
                <w:rFonts w:hint="eastAsia" w:ascii="宋体" w:hAnsi="宋体"/>
                <w:color w:val="auto"/>
                <w:szCs w:val="21"/>
                <w:highlight w:val="none"/>
              </w:rPr>
            </w:pPr>
          </w:p>
        </w:tc>
        <w:tc>
          <w:tcPr>
            <w:tcW w:w="261" w:type="pct"/>
            <w:vMerge w:val="continue"/>
            <w:noWrap w:val="0"/>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 w:type="pct"/>
            <w:vMerge w:val="restart"/>
            <w:noWrap w:val="0"/>
            <w:vAlign w:val="center"/>
          </w:tcPr>
          <w:p>
            <w:pPr>
              <w:spacing w:line="38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259" w:type="pct"/>
            <w:noWrap w:val="0"/>
            <w:vAlign w:val="top"/>
          </w:tcPr>
          <w:p>
            <w:pPr>
              <w:spacing w:line="380" w:lineRule="exact"/>
              <w:rPr>
                <w:rFonts w:hint="eastAsia" w:ascii="宋体" w:hAnsi="宋体"/>
                <w:color w:val="auto"/>
                <w:szCs w:val="21"/>
                <w:highlight w:val="none"/>
              </w:rPr>
            </w:pPr>
            <w:r>
              <w:rPr>
                <w:rFonts w:hint="eastAsia" w:ascii="宋体" w:hAnsi="宋体"/>
                <w:color w:val="auto"/>
                <w:szCs w:val="21"/>
                <w:highlight w:val="none"/>
              </w:rPr>
              <w:t>1-1</w:t>
            </w:r>
          </w:p>
        </w:tc>
        <w:tc>
          <w:tcPr>
            <w:tcW w:w="559" w:type="pct"/>
            <w:noWrap w:val="0"/>
            <w:vAlign w:val="top"/>
          </w:tcPr>
          <w:p>
            <w:pPr>
              <w:spacing w:line="380" w:lineRule="exact"/>
              <w:rPr>
                <w:rFonts w:hint="eastAsia" w:ascii="宋体" w:hAnsi="宋体"/>
                <w:color w:val="auto"/>
                <w:szCs w:val="21"/>
                <w:highlight w:val="none"/>
              </w:rPr>
            </w:pPr>
          </w:p>
        </w:tc>
        <w:tc>
          <w:tcPr>
            <w:tcW w:w="373" w:type="pct"/>
            <w:noWrap w:val="0"/>
            <w:vAlign w:val="top"/>
          </w:tcPr>
          <w:p>
            <w:pPr>
              <w:spacing w:line="380" w:lineRule="exact"/>
              <w:rPr>
                <w:rFonts w:hint="eastAsia" w:ascii="宋体" w:hAnsi="宋体"/>
                <w:color w:val="auto"/>
                <w:szCs w:val="21"/>
                <w:highlight w:val="none"/>
              </w:rPr>
            </w:pPr>
          </w:p>
        </w:tc>
        <w:tc>
          <w:tcPr>
            <w:tcW w:w="410" w:type="pct"/>
            <w:noWrap w:val="0"/>
            <w:vAlign w:val="top"/>
          </w:tcPr>
          <w:p>
            <w:pPr>
              <w:spacing w:line="380" w:lineRule="exact"/>
              <w:rPr>
                <w:rFonts w:hint="eastAsia" w:ascii="宋体" w:hAnsi="宋体"/>
                <w:color w:val="auto"/>
                <w:szCs w:val="21"/>
                <w:highlight w:val="none"/>
              </w:rPr>
            </w:pPr>
          </w:p>
        </w:tc>
        <w:tc>
          <w:tcPr>
            <w:tcW w:w="410" w:type="pct"/>
            <w:noWrap w:val="0"/>
            <w:vAlign w:val="top"/>
          </w:tcPr>
          <w:p>
            <w:pPr>
              <w:spacing w:line="380" w:lineRule="exact"/>
              <w:rPr>
                <w:rFonts w:hint="eastAsia" w:ascii="宋体" w:hAnsi="宋体"/>
                <w:color w:val="auto"/>
                <w:szCs w:val="21"/>
                <w:highlight w:val="none"/>
              </w:rPr>
            </w:pPr>
          </w:p>
        </w:tc>
        <w:tc>
          <w:tcPr>
            <w:tcW w:w="634" w:type="pct"/>
            <w:noWrap w:val="0"/>
            <w:vAlign w:val="top"/>
          </w:tcPr>
          <w:p>
            <w:pPr>
              <w:spacing w:line="380" w:lineRule="exact"/>
              <w:rPr>
                <w:rFonts w:hint="eastAsia" w:ascii="宋体" w:hAnsi="宋体"/>
                <w:color w:val="auto"/>
                <w:szCs w:val="21"/>
                <w:highlight w:val="none"/>
              </w:rPr>
            </w:pPr>
          </w:p>
        </w:tc>
        <w:tc>
          <w:tcPr>
            <w:tcW w:w="709" w:type="pct"/>
            <w:noWrap w:val="0"/>
            <w:vAlign w:val="top"/>
          </w:tcPr>
          <w:p>
            <w:pPr>
              <w:spacing w:line="380" w:lineRule="exact"/>
              <w:rPr>
                <w:rFonts w:hint="eastAsia" w:ascii="宋体" w:hAnsi="宋体"/>
                <w:color w:val="auto"/>
                <w:szCs w:val="21"/>
                <w:highlight w:val="none"/>
              </w:rPr>
            </w:pPr>
          </w:p>
        </w:tc>
        <w:tc>
          <w:tcPr>
            <w:tcW w:w="298" w:type="pct"/>
            <w:noWrap w:val="0"/>
            <w:vAlign w:val="top"/>
          </w:tcPr>
          <w:p>
            <w:pPr>
              <w:spacing w:line="380" w:lineRule="exact"/>
              <w:rPr>
                <w:rFonts w:hint="eastAsia" w:ascii="宋体" w:hAnsi="宋体"/>
                <w:color w:val="auto"/>
                <w:szCs w:val="21"/>
                <w:highlight w:val="none"/>
              </w:rPr>
            </w:pPr>
          </w:p>
        </w:tc>
        <w:tc>
          <w:tcPr>
            <w:tcW w:w="410" w:type="pct"/>
            <w:noWrap w:val="0"/>
            <w:vAlign w:val="top"/>
          </w:tcPr>
          <w:p>
            <w:pPr>
              <w:spacing w:line="380" w:lineRule="exact"/>
              <w:rPr>
                <w:rFonts w:hint="eastAsia" w:ascii="宋体" w:hAnsi="宋体"/>
                <w:color w:val="auto"/>
                <w:szCs w:val="21"/>
                <w:highlight w:val="none"/>
              </w:rPr>
            </w:pPr>
          </w:p>
        </w:tc>
        <w:tc>
          <w:tcPr>
            <w:tcW w:w="522" w:type="pct"/>
            <w:noWrap w:val="0"/>
            <w:vAlign w:val="top"/>
          </w:tcPr>
          <w:p>
            <w:pPr>
              <w:spacing w:line="380" w:lineRule="exact"/>
              <w:rPr>
                <w:rFonts w:hint="eastAsia" w:ascii="宋体" w:hAnsi="宋体"/>
                <w:color w:val="auto"/>
                <w:szCs w:val="21"/>
                <w:highlight w:val="none"/>
              </w:rPr>
            </w:pPr>
          </w:p>
        </w:tc>
        <w:tc>
          <w:tcPr>
            <w:tcW w:w="261" w:type="pct"/>
            <w:noWrap w:val="0"/>
            <w:vAlign w:val="top"/>
          </w:tcPr>
          <w:p>
            <w:pPr>
              <w:spacing w:line="38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 w:type="pct"/>
            <w:vMerge w:val="continue"/>
            <w:noWrap w:val="0"/>
            <w:vAlign w:val="top"/>
          </w:tcPr>
          <w:p>
            <w:pPr>
              <w:spacing w:line="380" w:lineRule="exact"/>
              <w:rPr>
                <w:rFonts w:hint="eastAsia" w:ascii="宋体" w:hAnsi="宋体"/>
                <w:color w:val="auto"/>
                <w:szCs w:val="21"/>
                <w:highlight w:val="none"/>
              </w:rPr>
            </w:pPr>
          </w:p>
        </w:tc>
        <w:tc>
          <w:tcPr>
            <w:tcW w:w="259" w:type="pct"/>
            <w:noWrap w:val="0"/>
            <w:vAlign w:val="top"/>
          </w:tcPr>
          <w:p>
            <w:pPr>
              <w:spacing w:line="380" w:lineRule="exact"/>
              <w:rPr>
                <w:rFonts w:hint="eastAsia" w:ascii="宋体" w:hAnsi="宋体"/>
                <w:color w:val="auto"/>
                <w:szCs w:val="21"/>
                <w:highlight w:val="none"/>
              </w:rPr>
            </w:pPr>
            <w:r>
              <w:rPr>
                <w:rFonts w:hint="eastAsia" w:ascii="宋体" w:hAnsi="宋体"/>
                <w:color w:val="auto"/>
                <w:szCs w:val="21"/>
                <w:highlight w:val="none"/>
              </w:rPr>
              <w:t>1-2</w:t>
            </w:r>
          </w:p>
        </w:tc>
        <w:tc>
          <w:tcPr>
            <w:tcW w:w="559" w:type="pct"/>
            <w:noWrap w:val="0"/>
            <w:vAlign w:val="top"/>
          </w:tcPr>
          <w:p>
            <w:pPr>
              <w:spacing w:line="380" w:lineRule="exact"/>
              <w:rPr>
                <w:rFonts w:hint="eastAsia" w:ascii="宋体" w:hAnsi="宋体"/>
                <w:color w:val="auto"/>
                <w:szCs w:val="21"/>
                <w:highlight w:val="none"/>
              </w:rPr>
            </w:pPr>
          </w:p>
        </w:tc>
        <w:tc>
          <w:tcPr>
            <w:tcW w:w="373" w:type="pct"/>
            <w:noWrap w:val="0"/>
            <w:vAlign w:val="top"/>
          </w:tcPr>
          <w:p>
            <w:pPr>
              <w:spacing w:line="380" w:lineRule="exact"/>
              <w:rPr>
                <w:rFonts w:hint="eastAsia" w:ascii="宋体" w:hAnsi="宋体"/>
                <w:color w:val="auto"/>
                <w:szCs w:val="21"/>
                <w:highlight w:val="none"/>
              </w:rPr>
            </w:pPr>
          </w:p>
        </w:tc>
        <w:tc>
          <w:tcPr>
            <w:tcW w:w="410" w:type="pct"/>
            <w:noWrap w:val="0"/>
            <w:vAlign w:val="top"/>
          </w:tcPr>
          <w:p>
            <w:pPr>
              <w:spacing w:line="380" w:lineRule="exact"/>
              <w:rPr>
                <w:rFonts w:hint="eastAsia" w:ascii="宋体" w:hAnsi="宋体"/>
                <w:color w:val="auto"/>
                <w:szCs w:val="21"/>
                <w:highlight w:val="none"/>
              </w:rPr>
            </w:pPr>
          </w:p>
        </w:tc>
        <w:tc>
          <w:tcPr>
            <w:tcW w:w="410" w:type="pct"/>
            <w:noWrap w:val="0"/>
            <w:vAlign w:val="top"/>
          </w:tcPr>
          <w:p>
            <w:pPr>
              <w:spacing w:line="380" w:lineRule="exact"/>
              <w:rPr>
                <w:rFonts w:hint="eastAsia" w:ascii="宋体" w:hAnsi="宋体"/>
                <w:color w:val="auto"/>
                <w:szCs w:val="21"/>
                <w:highlight w:val="none"/>
              </w:rPr>
            </w:pPr>
          </w:p>
        </w:tc>
        <w:tc>
          <w:tcPr>
            <w:tcW w:w="634" w:type="pct"/>
            <w:noWrap w:val="0"/>
            <w:vAlign w:val="top"/>
          </w:tcPr>
          <w:p>
            <w:pPr>
              <w:spacing w:line="380" w:lineRule="exact"/>
              <w:rPr>
                <w:rFonts w:hint="eastAsia" w:ascii="宋体" w:hAnsi="宋体"/>
                <w:color w:val="auto"/>
                <w:szCs w:val="21"/>
                <w:highlight w:val="none"/>
              </w:rPr>
            </w:pPr>
          </w:p>
        </w:tc>
        <w:tc>
          <w:tcPr>
            <w:tcW w:w="709" w:type="pct"/>
            <w:noWrap w:val="0"/>
            <w:vAlign w:val="top"/>
          </w:tcPr>
          <w:p>
            <w:pPr>
              <w:spacing w:line="380" w:lineRule="exact"/>
              <w:rPr>
                <w:rFonts w:hint="eastAsia" w:ascii="宋体" w:hAnsi="宋体"/>
                <w:color w:val="auto"/>
                <w:szCs w:val="21"/>
                <w:highlight w:val="none"/>
              </w:rPr>
            </w:pPr>
          </w:p>
        </w:tc>
        <w:tc>
          <w:tcPr>
            <w:tcW w:w="298" w:type="pct"/>
            <w:noWrap w:val="0"/>
            <w:vAlign w:val="top"/>
          </w:tcPr>
          <w:p>
            <w:pPr>
              <w:spacing w:line="380" w:lineRule="exact"/>
              <w:rPr>
                <w:rFonts w:hint="eastAsia" w:ascii="宋体" w:hAnsi="宋体"/>
                <w:color w:val="auto"/>
                <w:szCs w:val="21"/>
                <w:highlight w:val="none"/>
              </w:rPr>
            </w:pPr>
          </w:p>
        </w:tc>
        <w:tc>
          <w:tcPr>
            <w:tcW w:w="410" w:type="pct"/>
            <w:noWrap w:val="0"/>
            <w:vAlign w:val="top"/>
          </w:tcPr>
          <w:p>
            <w:pPr>
              <w:spacing w:line="380" w:lineRule="exact"/>
              <w:rPr>
                <w:rFonts w:hint="eastAsia" w:ascii="宋体" w:hAnsi="宋体"/>
                <w:color w:val="auto"/>
                <w:szCs w:val="21"/>
                <w:highlight w:val="none"/>
              </w:rPr>
            </w:pPr>
          </w:p>
        </w:tc>
        <w:tc>
          <w:tcPr>
            <w:tcW w:w="522" w:type="pct"/>
            <w:noWrap w:val="0"/>
            <w:vAlign w:val="top"/>
          </w:tcPr>
          <w:p>
            <w:pPr>
              <w:spacing w:line="380" w:lineRule="exact"/>
              <w:rPr>
                <w:rFonts w:hint="eastAsia" w:ascii="宋体" w:hAnsi="宋体"/>
                <w:color w:val="auto"/>
                <w:szCs w:val="21"/>
                <w:highlight w:val="none"/>
              </w:rPr>
            </w:pPr>
          </w:p>
        </w:tc>
        <w:tc>
          <w:tcPr>
            <w:tcW w:w="261" w:type="pct"/>
            <w:noWrap w:val="0"/>
            <w:vAlign w:val="top"/>
          </w:tcPr>
          <w:p>
            <w:pPr>
              <w:spacing w:line="38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 w:type="pct"/>
            <w:vMerge w:val="continue"/>
            <w:noWrap w:val="0"/>
            <w:vAlign w:val="top"/>
          </w:tcPr>
          <w:p>
            <w:pPr>
              <w:spacing w:line="380" w:lineRule="exact"/>
              <w:rPr>
                <w:rFonts w:hint="eastAsia" w:ascii="宋体" w:hAnsi="宋体"/>
                <w:color w:val="auto"/>
                <w:szCs w:val="21"/>
                <w:highlight w:val="none"/>
              </w:rPr>
            </w:pPr>
          </w:p>
        </w:tc>
        <w:tc>
          <w:tcPr>
            <w:tcW w:w="259" w:type="pct"/>
            <w:noWrap w:val="0"/>
            <w:vAlign w:val="top"/>
          </w:tcPr>
          <w:p>
            <w:pPr>
              <w:spacing w:line="380" w:lineRule="exact"/>
              <w:rPr>
                <w:rFonts w:hint="eastAsia" w:ascii="宋体" w:hAnsi="宋体"/>
                <w:color w:val="auto"/>
                <w:szCs w:val="21"/>
                <w:highlight w:val="none"/>
              </w:rPr>
            </w:pPr>
            <w:r>
              <w:rPr>
                <w:rFonts w:ascii="宋体" w:hAnsi="宋体"/>
                <w:color w:val="auto"/>
                <w:szCs w:val="21"/>
                <w:highlight w:val="none"/>
              </w:rPr>
              <w:t>……</w:t>
            </w:r>
          </w:p>
        </w:tc>
        <w:tc>
          <w:tcPr>
            <w:tcW w:w="559" w:type="pct"/>
            <w:noWrap w:val="0"/>
            <w:vAlign w:val="top"/>
          </w:tcPr>
          <w:p>
            <w:pPr>
              <w:spacing w:line="380" w:lineRule="exact"/>
              <w:rPr>
                <w:rFonts w:hint="eastAsia" w:ascii="宋体" w:hAnsi="宋体"/>
                <w:color w:val="auto"/>
                <w:szCs w:val="21"/>
                <w:highlight w:val="none"/>
              </w:rPr>
            </w:pPr>
          </w:p>
        </w:tc>
        <w:tc>
          <w:tcPr>
            <w:tcW w:w="373" w:type="pct"/>
            <w:noWrap w:val="0"/>
            <w:vAlign w:val="top"/>
          </w:tcPr>
          <w:p>
            <w:pPr>
              <w:spacing w:line="380" w:lineRule="exact"/>
              <w:rPr>
                <w:rFonts w:hint="eastAsia" w:ascii="宋体" w:hAnsi="宋体"/>
                <w:color w:val="auto"/>
                <w:szCs w:val="21"/>
                <w:highlight w:val="none"/>
              </w:rPr>
            </w:pPr>
          </w:p>
        </w:tc>
        <w:tc>
          <w:tcPr>
            <w:tcW w:w="410" w:type="pct"/>
            <w:noWrap w:val="0"/>
            <w:vAlign w:val="top"/>
          </w:tcPr>
          <w:p>
            <w:pPr>
              <w:spacing w:line="380" w:lineRule="exact"/>
              <w:rPr>
                <w:rFonts w:hint="eastAsia" w:ascii="宋体" w:hAnsi="宋体"/>
                <w:color w:val="auto"/>
                <w:szCs w:val="21"/>
                <w:highlight w:val="none"/>
              </w:rPr>
            </w:pPr>
          </w:p>
        </w:tc>
        <w:tc>
          <w:tcPr>
            <w:tcW w:w="410" w:type="pct"/>
            <w:noWrap w:val="0"/>
            <w:vAlign w:val="top"/>
          </w:tcPr>
          <w:p>
            <w:pPr>
              <w:spacing w:line="380" w:lineRule="exact"/>
              <w:rPr>
                <w:rFonts w:hint="eastAsia" w:ascii="宋体" w:hAnsi="宋体"/>
                <w:color w:val="auto"/>
                <w:szCs w:val="21"/>
                <w:highlight w:val="none"/>
              </w:rPr>
            </w:pPr>
          </w:p>
        </w:tc>
        <w:tc>
          <w:tcPr>
            <w:tcW w:w="634" w:type="pct"/>
            <w:noWrap w:val="0"/>
            <w:vAlign w:val="top"/>
          </w:tcPr>
          <w:p>
            <w:pPr>
              <w:spacing w:line="380" w:lineRule="exact"/>
              <w:rPr>
                <w:rFonts w:hint="eastAsia" w:ascii="宋体" w:hAnsi="宋体"/>
                <w:color w:val="auto"/>
                <w:szCs w:val="21"/>
                <w:highlight w:val="none"/>
              </w:rPr>
            </w:pPr>
          </w:p>
        </w:tc>
        <w:tc>
          <w:tcPr>
            <w:tcW w:w="709" w:type="pct"/>
            <w:noWrap w:val="0"/>
            <w:vAlign w:val="top"/>
          </w:tcPr>
          <w:p>
            <w:pPr>
              <w:spacing w:line="380" w:lineRule="exact"/>
              <w:rPr>
                <w:rFonts w:hint="eastAsia" w:ascii="宋体" w:hAnsi="宋体"/>
                <w:color w:val="auto"/>
                <w:szCs w:val="21"/>
                <w:highlight w:val="none"/>
              </w:rPr>
            </w:pPr>
          </w:p>
        </w:tc>
        <w:tc>
          <w:tcPr>
            <w:tcW w:w="298" w:type="pct"/>
            <w:noWrap w:val="0"/>
            <w:vAlign w:val="top"/>
          </w:tcPr>
          <w:p>
            <w:pPr>
              <w:spacing w:line="380" w:lineRule="exact"/>
              <w:rPr>
                <w:rFonts w:hint="eastAsia" w:ascii="宋体" w:hAnsi="宋体"/>
                <w:color w:val="auto"/>
                <w:szCs w:val="21"/>
                <w:highlight w:val="none"/>
              </w:rPr>
            </w:pPr>
          </w:p>
        </w:tc>
        <w:tc>
          <w:tcPr>
            <w:tcW w:w="410" w:type="pct"/>
            <w:noWrap w:val="0"/>
            <w:vAlign w:val="top"/>
          </w:tcPr>
          <w:p>
            <w:pPr>
              <w:spacing w:line="380" w:lineRule="exact"/>
              <w:rPr>
                <w:rFonts w:hint="eastAsia" w:ascii="宋体" w:hAnsi="宋体"/>
                <w:color w:val="auto"/>
                <w:szCs w:val="21"/>
                <w:highlight w:val="none"/>
              </w:rPr>
            </w:pPr>
          </w:p>
        </w:tc>
        <w:tc>
          <w:tcPr>
            <w:tcW w:w="522" w:type="pct"/>
            <w:noWrap w:val="0"/>
            <w:vAlign w:val="top"/>
          </w:tcPr>
          <w:p>
            <w:pPr>
              <w:spacing w:line="380" w:lineRule="exact"/>
              <w:rPr>
                <w:rFonts w:hint="eastAsia" w:ascii="宋体" w:hAnsi="宋体"/>
                <w:color w:val="auto"/>
                <w:szCs w:val="21"/>
                <w:highlight w:val="none"/>
              </w:rPr>
            </w:pPr>
          </w:p>
        </w:tc>
        <w:tc>
          <w:tcPr>
            <w:tcW w:w="261" w:type="pct"/>
            <w:noWrap w:val="0"/>
            <w:vAlign w:val="top"/>
          </w:tcPr>
          <w:p>
            <w:pPr>
              <w:spacing w:line="38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 w:type="pct"/>
            <w:vMerge w:val="continue"/>
            <w:noWrap w:val="0"/>
            <w:vAlign w:val="top"/>
          </w:tcPr>
          <w:p>
            <w:pPr>
              <w:spacing w:line="380" w:lineRule="exact"/>
              <w:rPr>
                <w:rFonts w:hint="eastAsia" w:ascii="宋体" w:hAnsi="宋体"/>
                <w:color w:val="auto"/>
                <w:szCs w:val="21"/>
                <w:highlight w:val="none"/>
              </w:rPr>
            </w:pPr>
          </w:p>
        </w:tc>
        <w:tc>
          <w:tcPr>
            <w:tcW w:w="259" w:type="pct"/>
            <w:noWrap w:val="0"/>
            <w:vAlign w:val="top"/>
          </w:tcPr>
          <w:p>
            <w:pPr>
              <w:spacing w:line="380" w:lineRule="exact"/>
              <w:rPr>
                <w:rFonts w:hint="eastAsia" w:ascii="宋体" w:hAnsi="宋体"/>
                <w:color w:val="auto"/>
                <w:szCs w:val="21"/>
                <w:highlight w:val="none"/>
              </w:rPr>
            </w:pPr>
          </w:p>
        </w:tc>
        <w:tc>
          <w:tcPr>
            <w:tcW w:w="559" w:type="pct"/>
            <w:noWrap w:val="0"/>
            <w:vAlign w:val="top"/>
          </w:tcPr>
          <w:p>
            <w:pPr>
              <w:spacing w:line="380" w:lineRule="exact"/>
              <w:rPr>
                <w:rFonts w:hint="eastAsia" w:ascii="宋体" w:hAnsi="宋体"/>
                <w:color w:val="auto"/>
                <w:szCs w:val="21"/>
                <w:highlight w:val="none"/>
              </w:rPr>
            </w:pPr>
          </w:p>
        </w:tc>
        <w:tc>
          <w:tcPr>
            <w:tcW w:w="373" w:type="pct"/>
            <w:noWrap w:val="0"/>
            <w:vAlign w:val="top"/>
          </w:tcPr>
          <w:p>
            <w:pPr>
              <w:spacing w:line="380" w:lineRule="exact"/>
              <w:rPr>
                <w:rFonts w:hint="eastAsia" w:ascii="宋体" w:hAnsi="宋体"/>
                <w:color w:val="auto"/>
                <w:szCs w:val="21"/>
                <w:highlight w:val="none"/>
              </w:rPr>
            </w:pPr>
          </w:p>
        </w:tc>
        <w:tc>
          <w:tcPr>
            <w:tcW w:w="410" w:type="pct"/>
            <w:noWrap w:val="0"/>
            <w:vAlign w:val="top"/>
          </w:tcPr>
          <w:p>
            <w:pPr>
              <w:spacing w:line="380" w:lineRule="exact"/>
              <w:rPr>
                <w:rFonts w:hint="eastAsia" w:ascii="宋体" w:hAnsi="宋体"/>
                <w:color w:val="auto"/>
                <w:szCs w:val="21"/>
                <w:highlight w:val="none"/>
              </w:rPr>
            </w:pPr>
          </w:p>
        </w:tc>
        <w:tc>
          <w:tcPr>
            <w:tcW w:w="410" w:type="pct"/>
            <w:noWrap w:val="0"/>
            <w:vAlign w:val="top"/>
          </w:tcPr>
          <w:p>
            <w:pPr>
              <w:spacing w:line="380" w:lineRule="exact"/>
              <w:rPr>
                <w:rFonts w:hint="eastAsia" w:ascii="宋体" w:hAnsi="宋体"/>
                <w:color w:val="auto"/>
                <w:szCs w:val="21"/>
                <w:highlight w:val="none"/>
              </w:rPr>
            </w:pPr>
          </w:p>
        </w:tc>
        <w:tc>
          <w:tcPr>
            <w:tcW w:w="634" w:type="pct"/>
            <w:noWrap w:val="0"/>
            <w:vAlign w:val="top"/>
          </w:tcPr>
          <w:p>
            <w:pPr>
              <w:spacing w:line="380" w:lineRule="exact"/>
              <w:rPr>
                <w:rFonts w:hint="eastAsia" w:ascii="宋体" w:hAnsi="宋体"/>
                <w:color w:val="auto"/>
                <w:szCs w:val="21"/>
                <w:highlight w:val="none"/>
              </w:rPr>
            </w:pPr>
          </w:p>
        </w:tc>
        <w:tc>
          <w:tcPr>
            <w:tcW w:w="709" w:type="pct"/>
            <w:noWrap w:val="0"/>
            <w:vAlign w:val="top"/>
          </w:tcPr>
          <w:p>
            <w:pPr>
              <w:spacing w:line="380" w:lineRule="exact"/>
              <w:rPr>
                <w:rFonts w:hint="eastAsia" w:ascii="宋体" w:hAnsi="宋体"/>
                <w:color w:val="auto"/>
                <w:szCs w:val="21"/>
                <w:highlight w:val="none"/>
              </w:rPr>
            </w:pPr>
          </w:p>
        </w:tc>
        <w:tc>
          <w:tcPr>
            <w:tcW w:w="298" w:type="pct"/>
            <w:noWrap w:val="0"/>
            <w:vAlign w:val="top"/>
          </w:tcPr>
          <w:p>
            <w:pPr>
              <w:spacing w:line="380" w:lineRule="exact"/>
              <w:rPr>
                <w:rFonts w:hint="eastAsia" w:ascii="宋体" w:hAnsi="宋体"/>
                <w:color w:val="auto"/>
                <w:szCs w:val="21"/>
                <w:highlight w:val="none"/>
              </w:rPr>
            </w:pPr>
          </w:p>
        </w:tc>
        <w:tc>
          <w:tcPr>
            <w:tcW w:w="410" w:type="pct"/>
            <w:noWrap w:val="0"/>
            <w:vAlign w:val="top"/>
          </w:tcPr>
          <w:p>
            <w:pPr>
              <w:spacing w:line="380" w:lineRule="exact"/>
              <w:rPr>
                <w:rFonts w:hint="eastAsia" w:ascii="宋体" w:hAnsi="宋体"/>
                <w:color w:val="auto"/>
                <w:szCs w:val="21"/>
                <w:highlight w:val="none"/>
              </w:rPr>
            </w:pPr>
          </w:p>
        </w:tc>
        <w:tc>
          <w:tcPr>
            <w:tcW w:w="522" w:type="pct"/>
            <w:noWrap w:val="0"/>
            <w:vAlign w:val="top"/>
          </w:tcPr>
          <w:p>
            <w:pPr>
              <w:spacing w:line="380" w:lineRule="exact"/>
              <w:rPr>
                <w:rFonts w:hint="eastAsia" w:ascii="宋体" w:hAnsi="宋体"/>
                <w:color w:val="auto"/>
                <w:szCs w:val="21"/>
                <w:highlight w:val="none"/>
              </w:rPr>
            </w:pPr>
          </w:p>
        </w:tc>
        <w:tc>
          <w:tcPr>
            <w:tcW w:w="261" w:type="pct"/>
            <w:noWrap w:val="0"/>
            <w:vAlign w:val="top"/>
          </w:tcPr>
          <w:p>
            <w:pPr>
              <w:spacing w:line="38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 w:type="pct"/>
            <w:vMerge w:val="continue"/>
            <w:noWrap w:val="0"/>
            <w:vAlign w:val="top"/>
          </w:tcPr>
          <w:p>
            <w:pPr>
              <w:spacing w:line="380" w:lineRule="exact"/>
              <w:rPr>
                <w:rFonts w:hint="eastAsia" w:ascii="宋体" w:hAnsi="宋体"/>
                <w:color w:val="auto"/>
                <w:szCs w:val="21"/>
                <w:highlight w:val="none"/>
              </w:rPr>
            </w:pPr>
          </w:p>
        </w:tc>
        <w:tc>
          <w:tcPr>
            <w:tcW w:w="259" w:type="pct"/>
            <w:noWrap w:val="0"/>
            <w:vAlign w:val="top"/>
          </w:tcPr>
          <w:p>
            <w:pPr>
              <w:spacing w:line="380" w:lineRule="exact"/>
              <w:rPr>
                <w:rFonts w:hint="eastAsia" w:ascii="宋体" w:hAnsi="宋体"/>
                <w:color w:val="auto"/>
                <w:szCs w:val="21"/>
                <w:highlight w:val="none"/>
              </w:rPr>
            </w:pPr>
          </w:p>
        </w:tc>
        <w:tc>
          <w:tcPr>
            <w:tcW w:w="559" w:type="pct"/>
            <w:noWrap w:val="0"/>
            <w:vAlign w:val="top"/>
          </w:tcPr>
          <w:p>
            <w:pPr>
              <w:spacing w:line="380" w:lineRule="exact"/>
              <w:rPr>
                <w:rFonts w:hint="eastAsia" w:ascii="宋体" w:hAnsi="宋体"/>
                <w:color w:val="auto"/>
                <w:szCs w:val="21"/>
                <w:highlight w:val="none"/>
              </w:rPr>
            </w:pPr>
          </w:p>
        </w:tc>
        <w:tc>
          <w:tcPr>
            <w:tcW w:w="373" w:type="pct"/>
            <w:noWrap w:val="0"/>
            <w:vAlign w:val="top"/>
          </w:tcPr>
          <w:p>
            <w:pPr>
              <w:spacing w:line="380" w:lineRule="exact"/>
              <w:rPr>
                <w:rFonts w:hint="eastAsia" w:ascii="宋体" w:hAnsi="宋体"/>
                <w:color w:val="auto"/>
                <w:szCs w:val="21"/>
                <w:highlight w:val="none"/>
              </w:rPr>
            </w:pPr>
          </w:p>
        </w:tc>
        <w:tc>
          <w:tcPr>
            <w:tcW w:w="410" w:type="pct"/>
            <w:noWrap w:val="0"/>
            <w:vAlign w:val="top"/>
          </w:tcPr>
          <w:p>
            <w:pPr>
              <w:spacing w:line="380" w:lineRule="exact"/>
              <w:rPr>
                <w:rFonts w:hint="eastAsia" w:ascii="宋体" w:hAnsi="宋体"/>
                <w:color w:val="auto"/>
                <w:szCs w:val="21"/>
                <w:highlight w:val="none"/>
              </w:rPr>
            </w:pPr>
          </w:p>
        </w:tc>
        <w:tc>
          <w:tcPr>
            <w:tcW w:w="410" w:type="pct"/>
            <w:noWrap w:val="0"/>
            <w:vAlign w:val="top"/>
          </w:tcPr>
          <w:p>
            <w:pPr>
              <w:spacing w:line="380" w:lineRule="exact"/>
              <w:rPr>
                <w:rFonts w:hint="eastAsia" w:ascii="宋体" w:hAnsi="宋体"/>
                <w:color w:val="auto"/>
                <w:szCs w:val="21"/>
                <w:highlight w:val="none"/>
              </w:rPr>
            </w:pPr>
          </w:p>
        </w:tc>
        <w:tc>
          <w:tcPr>
            <w:tcW w:w="634" w:type="pct"/>
            <w:noWrap w:val="0"/>
            <w:vAlign w:val="top"/>
          </w:tcPr>
          <w:p>
            <w:pPr>
              <w:spacing w:line="380" w:lineRule="exact"/>
              <w:rPr>
                <w:rFonts w:hint="eastAsia" w:ascii="宋体" w:hAnsi="宋体"/>
                <w:color w:val="auto"/>
                <w:szCs w:val="21"/>
                <w:highlight w:val="none"/>
              </w:rPr>
            </w:pPr>
          </w:p>
        </w:tc>
        <w:tc>
          <w:tcPr>
            <w:tcW w:w="709" w:type="pct"/>
            <w:noWrap w:val="0"/>
            <w:vAlign w:val="top"/>
          </w:tcPr>
          <w:p>
            <w:pPr>
              <w:spacing w:line="380" w:lineRule="exact"/>
              <w:rPr>
                <w:rFonts w:hint="eastAsia" w:ascii="宋体" w:hAnsi="宋体"/>
                <w:color w:val="auto"/>
                <w:szCs w:val="21"/>
                <w:highlight w:val="none"/>
              </w:rPr>
            </w:pPr>
          </w:p>
        </w:tc>
        <w:tc>
          <w:tcPr>
            <w:tcW w:w="298" w:type="pct"/>
            <w:noWrap w:val="0"/>
            <w:vAlign w:val="top"/>
          </w:tcPr>
          <w:p>
            <w:pPr>
              <w:spacing w:line="380" w:lineRule="exact"/>
              <w:rPr>
                <w:rFonts w:hint="eastAsia" w:ascii="宋体" w:hAnsi="宋体"/>
                <w:color w:val="auto"/>
                <w:szCs w:val="21"/>
                <w:highlight w:val="none"/>
              </w:rPr>
            </w:pPr>
          </w:p>
        </w:tc>
        <w:tc>
          <w:tcPr>
            <w:tcW w:w="410" w:type="pct"/>
            <w:noWrap w:val="0"/>
            <w:vAlign w:val="top"/>
          </w:tcPr>
          <w:p>
            <w:pPr>
              <w:spacing w:line="380" w:lineRule="exact"/>
              <w:rPr>
                <w:rFonts w:hint="eastAsia" w:ascii="宋体" w:hAnsi="宋体"/>
                <w:color w:val="auto"/>
                <w:szCs w:val="21"/>
                <w:highlight w:val="none"/>
              </w:rPr>
            </w:pPr>
          </w:p>
        </w:tc>
        <w:tc>
          <w:tcPr>
            <w:tcW w:w="522" w:type="pct"/>
            <w:noWrap w:val="0"/>
            <w:vAlign w:val="top"/>
          </w:tcPr>
          <w:p>
            <w:pPr>
              <w:spacing w:line="380" w:lineRule="exact"/>
              <w:rPr>
                <w:rFonts w:hint="eastAsia" w:ascii="宋体" w:hAnsi="宋体"/>
                <w:color w:val="auto"/>
                <w:szCs w:val="21"/>
                <w:highlight w:val="none"/>
              </w:rPr>
            </w:pPr>
          </w:p>
        </w:tc>
        <w:tc>
          <w:tcPr>
            <w:tcW w:w="261" w:type="pct"/>
            <w:noWrap w:val="0"/>
            <w:vAlign w:val="top"/>
          </w:tcPr>
          <w:p>
            <w:pPr>
              <w:spacing w:line="38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 w:type="pct"/>
            <w:vMerge w:val="continue"/>
            <w:noWrap w:val="0"/>
            <w:vAlign w:val="top"/>
          </w:tcPr>
          <w:p>
            <w:pPr>
              <w:spacing w:line="380" w:lineRule="exact"/>
              <w:rPr>
                <w:rFonts w:hint="eastAsia" w:ascii="宋体" w:hAnsi="宋体"/>
                <w:color w:val="auto"/>
                <w:szCs w:val="21"/>
                <w:highlight w:val="none"/>
              </w:rPr>
            </w:pPr>
          </w:p>
        </w:tc>
        <w:tc>
          <w:tcPr>
            <w:tcW w:w="259" w:type="pct"/>
            <w:noWrap w:val="0"/>
            <w:vAlign w:val="top"/>
          </w:tcPr>
          <w:p>
            <w:pPr>
              <w:spacing w:line="380" w:lineRule="exact"/>
              <w:rPr>
                <w:rFonts w:hint="eastAsia" w:ascii="宋体" w:hAnsi="宋体"/>
                <w:color w:val="auto"/>
                <w:szCs w:val="21"/>
                <w:highlight w:val="none"/>
              </w:rPr>
            </w:pPr>
          </w:p>
        </w:tc>
        <w:tc>
          <w:tcPr>
            <w:tcW w:w="559" w:type="pct"/>
            <w:noWrap w:val="0"/>
            <w:vAlign w:val="top"/>
          </w:tcPr>
          <w:p>
            <w:pPr>
              <w:spacing w:line="380" w:lineRule="exact"/>
              <w:rPr>
                <w:rFonts w:hint="eastAsia" w:ascii="宋体" w:hAnsi="宋体"/>
                <w:color w:val="auto"/>
                <w:szCs w:val="21"/>
                <w:highlight w:val="none"/>
              </w:rPr>
            </w:pPr>
          </w:p>
        </w:tc>
        <w:tc>
          <w:tcPr>
            <w:tcW w:w="373" w:type="pct"/>
            <w:noWrap w:val="0"/>
            <w:vAlign w:val="top"/>
          </w:tcPr>
          <w:p>
            <w:pPr>
              <w:spacing w:line="380" w:lineRule="exact"/>
              <w:rPr>
                <w:rFonts w:hint="eastAsia" w:ascii="宋体" w:hAnsi="宋体"/>
                <w:color w:val="auto"/>
                <w:szCs w:val="21"/>
                <w:highlight w:val="none"/>
              </w:rPr>
            </w:pPr>
          </w:p>
        </w:tc>
        <w:tc>
          <w:tcPr>
            <w:tcW w:w="410" w:type="pct"/>
            <w:noWrap w:val="0"/>
            <w:vAlign w:val="top"/>
          </w:tcPr>
          <w:p>
            <w:pPr>
              <w:spacing w:line="380" w:lineRule="exact"/>
              <w:rPr>
                <w:rFonts w:hint="eastAsia" w:ascii="宋体" w:hAnsi="宋体"/>
                <w:color w:val="auto"/>
                <w:szCs w:val="21"/>
                <w:highlight w:val="none"/>
              </w:rPr>
            </w:pPr>
          </w:p>
        </w:tc>
        <w:tc>
          <w:tcPr>
            <w:tcW w:w="410" w:type="pct"/>
            <w:noWrap w:val="0"/>
            <w:vAlign w:val="top"/>
          </w:tcPr>
          <w:p>
            <w:pPr>
              <w:spacing w:line="380" w:lineRule="exact"/>
              <w:rPr>
                <w:rFonts w:hint="eastAsia" w:ascii="宋体" w:hAnsi="宋体"/>
                <w:color w:val="auto"/>
                <w:szCs w:val="21"/>
                <w:highlight w:val="none"/>
              </w:rPr>
            </w:pPr>
          </w:p>
        </w:tc>
        <w:tc>
          <w:tcPr>
            <w:tcW w:w="634" w:type="pct"/>
            <w:noWrap w:val="0"/>
            <w:vAlign w:val="top"/>
          </w:tcPr>
          <w:p>
            <w:pPr>
              <w:spacing w:line="380" w:lineRule="exact"/>
              <w:rPr>
                <w:rFonts w:hint="eastAsia" w:ascii="宋体" w:hAnsi="宋体"/>
                <w:color w:val="auto"/>
                <w:szCs w:val="21"/>
                <w:highlight w:val="none"/>
              </w:rPr>
            </w:pPr>
          </w:p>
        </w:tc>
        <w:tc>
          <w:tcPr>
            <w:tcW w:w="709" w:type="pct"/>
            <w:noWrap w:val="0"/>
            <w:vAlign w:val="top"/>
          </w:tcPr>
          <w:p>
            <w:pPr>
              <w:spacing w:line="380" w:lineRule="exact"/>
              <w:rPr>
                <w:rFonts w:hint="eastAsia" w:ascii="宋体" w:hAnsi="宋体"/>
                <w:color w:val="auto"/>
                <w:szCs w:val="21"/>
                <w:highlight w:val="none"/>
              </w:rPr>
            </w:pPr>
          </w:p>
        </w:tc>
        <w:tc>
          <w:tcPr>
            <w:tcW w:w="298" w:type="pct"/>
            <w:noWrap w:val="0"/>
            <w:vAlign w:val="top"/>
          </w:tcPr>
          <w:p>
            <w:pPr>
              <w:spacing w:line="380" w:lineRule="exact"/>
              <w:rPr>
                <w:rFonts w:hint="eastAsia" w:ascii="宋体" w:hAnsi="宋体"/>
                <w:color w:val="auto"/>
                <w:szCs w:val="21"/>
                <w:highlight w:val="none"/>
              </w:rPr>
            </w:pPr>
          </w:p>
        </w:tc>
        <w:tc>
          <w:tcPr>
            <w:tcW w:w="410" w:type="pct"/>
            <w:noWrap w:val="0"/>
            <w:vAlign w:val="top"/>
          </w:tcPr>
          <w:p>
            <w:pPr>
              <w:spacing w:line="380" w:lineRule="exact"/>
              <w:rPr>
                <w:rFonts w:hint="eastAsia" w:ascii="宋体" w:hAnsi="宋体"/>
                <w:color w:val="auto"/>
                <w:szCs w:val="21"/>
                <w:highlight w:val="none"/>
              </w:rPr>
            </w:pPr>
          </w:p>
        </w:tc>
        <w:tc>
          <w:tcPr>
            <w:tcW w:w="522" w:type="pct"/>
            <w:noWrap w:val="0"/>
            <w:vAlign w:val="top"/>
          </w:tcPr>
          <w:p>
            <w:pPr>
              <w:spacing w:line="380" w:lineRule="exact"/>
              <w:rPr>
                <w:rFonts w:hint="eastAsia" w:ascii="宋体" w:hAnsi="宋体"/>
                <w:color w:val="auto"/>
                <w:szCs w:val="21"/>
                <w:highlight w:val="none"/>
              </w:rPr>
            </w:pPr>
          </w:p>
        </w:tc>
        <w:tc>
          <w:tcPr>
            <w:tcW w:w="261" w:type="pct"/>
            <w:noWrap w:val="0"/>
            <w:vAlign w:val="top"/>
          </w:tcPr>
          <w:p>
            <w:pPr>
              <w:spacing w:line="38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 w:type="pct"/>
            <w:vMerge w:val="continue"/>
            <w:noWrap w:val="0"/>
            <w:vAlign w:val="top"/>
          </w:tcPr>
          <w:p>
            <w:pPr>
              <w:spacing w:line="380" w:lineRule="exact"/>
              <w:rPr>
                <w:rFonts w:hint="eastAsia" w:ascii="宋体" w:hAnsi="宋体"/>
                <w:color w:val="auto"/>
                <w:szCs w:val="21"/>
                <w:highlight w:val="none"/>
              </w:rPr>
            </w:pPr>
          </w:p>
        </w:tc>
        <w:tc>
          <w:tcPr>
            <w:tcW w:w="259" w:type="pct"/>
            <w:noWrap w:val="0"/>
            <w:vAlign w:val="top"/>
          </w:tcPr>
          <w:p>
            <w:pPr>
              <w:spacing w:line="380" w:lineRule="exact"/>
              <w:rPr>
                <w:rFonts w:hint="eastAsia" w:ascii="宋体" w:hAnsi="宋体"/>
                <w:color w:val="auto"/>
                <w:szCs w:val="21"/>
                <w:highlight w:val="none"/>
              </w:rPr>
            </w:pPr>
          </w:p>
        </w:tc>
        <w:tc>
          <w:tcPr>
            <w:tcW w:w="559" w:type="pct"/>
            <w:noWrap w:val="0"/>
            <w:vAlign w:val="top"/>
          </w:tcPr>
          <w:p>
            <w:pPr>
              <w:spacing w:line="380" w:lineRule="exact"/>
              <w:rPr>
                <w:rFonts w:hint="eastAsia" w:ascii="宋体" w:hAnsi="宋体"/>
                <w:color w:val="auto"/>
                <w:szCs w:val="21"/>
                <w:highlight w:val="none"/>
              </w:rPr>
            </w:pPr>
          </w:p>
        </w:tc>
        <w:tc>
          <w:tcPr>
            <w:tcW w:w="373" w:type="pct"/>
            <w:noWrap w:val="0"/>
            <w:vAlign w:val="top"/>
          </w:tcPr>
          <w:p>
            <w:pPr>
              <w:spacing w:line="380" w:lineRule="exact"/>
              <w:rPr>
                <w:rFonts w:hint="eastAsia" w:ascii="宋体" w:hAnsi="宋体"/>
                <w:color w:val="auto"/>
                <w:szCs w:val="21"/>
                <w:highlight w:val="none"/>
              </w:rPr>
            </w:pPr>
          </w:p>
        </w:tc>
        <w:tc>
          <w:tcPr>
            <w:tcW w:w="410" w:type="pct"/>
            <w:noWrap w:val="0"/>
            <w:vAlign w:val="top"/>
          </w:tcPr>
          <w:p>
            <w:pPr>
              <w:spacing w:line="380" w:lineRule="exact"/>
              <w:rPr>
                <w:rFonts w:hint="eastAsia" w:ascii="宋体" w:hAnsi="宋体"/>
                <w:color w:val="auto"/>
                <w:szCs w:val="21"/>
                <w:highlight w:val="none"/>
              </w:rPr>
            </w:pPr>
          </w:p>
        </w:tc>
        <w:tc>
          <w:tcPr>
            <w:tcW w:w="410" w:type="pct"/>
            <w:noWrap w:val="0"/>
            <w:vAlign w:val="top"/>
          </w:tcPr>
          <w:p>
            <w:pPr>
              <w:spacing w:line="380" w:lineRule="exact"/>
              <w:rPr>
                <w:rFonts w:hint="eastAsia" w:ascii="宋体" w:hAnsi="宋体"/>
                <w:color w:val="auto"/>
                <w:szCs w:val="21"/>
                <w:highlight w:val="none"/>
              </w:rPr>
            </w:pPr>
          </w:p>
        </w:tc>
        <w:tc>
          <w:tcPr>
            <w:tcW w:w="634" w:type="pct"/>
            <w:noWrap w:val="0"/>
            <w:vAlign w:val="top"/>
          </w:tcPr>
          <w:p>
            <w:pPr>
              <w:spacing w:line="380" w:lineRule="exact"/>
              <w:rPr>
                <w:rFonts w:hint="eastAsia" w:ascii="宋体" w:hAnsi="宋体"/>
                <w:color w:val="auto"/>
                <w:szCs w:val="21"/>
                <w:highlight w:val="none"/>
              </w:rPr>
            </w:pPr>
          </w:p>
        </w:tc>
        <w:tc>
          <w:tcPr>
            <w:tcW w:w="709" w:type="pct"/>
            <w:noWrap w:val="0"/>
            <w:vAlign w:val="top"/>
          </w:tcPr>
          <w:p>
            <w:pPr>
              <w:spacing w:line="380" w:lineRule="exact"/>
              <w:rPr>
                <w:rFonts w:hint="eastAsia" w:ascii="宋体" w:hAnsi="宋体"/>
                <w:color w:val="auto"/>
                <w:szCs w:val="21"/>
                <w:highlight w:val="none"/>
              </w:rPr>
            </w:pPr>
          </w:p>
        </w:tc>
        <w:tc>
          <w:tcPr>
            <w:tcW w:w="298" w:type="pct"/>
            <w:noWrap w:val="0"/>
            <w:vAlign w:val="top"/>
          </w:tcPr>
          <w:p>
            <w:pPr>
              <w:spacing w:line="380" w:lineRule="exact"/>
              <w:rPr>
                <w:rFonts w:hint="eastAsia" w:ascii="宋体" w:hAnsi="宋体"/>
                <w:color w:val="auto"/>
                <w:szCs w:val="21"/>
                <w:highlight w:val="none"/>
              </w:rPr>
            </w:pPr>
          </w:p>
        </w:tc>
        <w:tc>
          <w:tcPr>
            <w:tcW w:w="410" w:type="pct"/>
            <w:noWrap w:val="0"/>
            <w:vAlign w:val="top"/>
          </w:tcPr>
          <w:p>
            <w:pPr>
              <w:spacing w:line="380" w:lineRule="exact"/>
              <w:rPr>
                <w:rFonts w:hint="eastAsia" w:ascii="宋体" w:hAnsi="宋体"/>
                <w:color w:val="auto"/>
                <w:szCs w:val="21"/>
                <w:highlight w:val="none"/>
              </w:rPr>
            </w:pPr>
          </w:p>
        </w:tc>
        <w:tc>
          <w:tcPr>
            <w:tcW w:w="522" w:type="pct"/>
            <w:noWrap w:val="0"/>
            <w:vAlign w:val="top"/>
          </w:tcPr>
          <w:p>
            <w:pPr>
              <w:spacing w:line="380" w:lineRule="exact"/>
              <w:rPr>
                <w:rFonts w:hint="eastAsia" w:ascii="宋体" w:hAnsi="宋体"/>
                <w:color w:val="auto"/>
                <w:szCs w:val="21"/>
                <w:highlight w:val="none"/>
              </w:rPr>
            </w:pPr>
          </w:p>
        </w:tc>
        <w:tc>
          <w:tcPr>
            <w:tcW w:w="261" w:type="pct"/>
            <w:noWrap w:val="0"/>
            <w:vAlign w:val="top"/>
          </w:tcPr>
          <w:p>
            <w:pPr>
              <w:spacing w:line="38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 w:type="pct"/>
            <w:vMerge w:val="continue"/>
            <w:noWrap w:val="0"/>
            <w:vAlign w:val="top"/>
          </w:tcPr>
          <w:p>
            <w:pPr>
              <w:spacing w:line="380" w:lineRule="exact"/>
              <w:rPr>
                <w:rFonts w:hint="eastAsia" w:ascii="宋体" w:hAnsi="宋体"/>
                <w:color w:val="auto"/>
                <w:szCs w:val="21"/>
                <w:highlight w:val="none"/>
              </w:rPr>
            </w:pPr>
          </w:p>
        </w:tc>
        <w:tc>
          <w:tcPr>
            <w:tcW w:w="259" w:type="pct"/>
            <w:noWrap w:val="0"/>
            <w:vAlign w:val="top"/>
          </w:tcPr>
          <w:p>
            <w:pPr>
              <w:spacing w:line="380" w:lineRule="exact"/>
              <w:rPr>
                <w:rFonts w:hint="eastAsia" w:ascii="宋体" w:hAnsi="宋体"/>
                <w:color w:val="auto"/>
                <w:szCs w:val="21"/>
                <w:highlight w:val="none"/>
              </w:rPr>
            </w:pPr>
          </w:p>
        </w:tc>
        <w:tc>
          <w:tcPr>
            <w:tcW w:w="559" w:type="pct"/>
            <w:noWrap w:val="0"/>
            <w:vAlign w:val="top"/>
          </w:tcPr>
          <w:p>
            <w:pPr>
              <w:spacing w:line="380" w:lineRule="exact"/>
              <w:rPr>
                <w:rFonts w:hint="eastAsia" w:ascii="宋体" w:hAnsi="宋体"/>
                <w:color w:val="auto"/>
                <w:szCs w:val="21"/>
                <w:highlight w:val="none"/>
              </w:rPr>
            </w:pPr>
          </w:p>
        </w:tc>
        <w:tc>
          <w:tcPr>
            <w:tcW w:w="373" w:type="pct"/>
            <w:noWrap w:val="0"/>
            <w:vAlign w:val="top"/>
          </w:tcPr>
          <w:p>
            <w:pPr>
              <w:spacing w:line="380" w:lineRule="exact"/>
              <w:rPr>
                <w:rFonts w:hint="eastAsia" w:ascii="宋体" w:hAnsi="宋体"/>
                <w:color w:val="auto"/>
                <w:szCs w:val="21"/>
                <w:highlight w:val="none"/>
              </w:rPr>
            </w:pPr>
          </w:p>
        </w:tc>
        <w:tc>
          <w:tcPr>
            <w:tcW w:w="410" w:type="pct"/>
            <w:noWrap w:val="0"/>
            <w:vAlign w:val="top"/>
          </w:tcPr>
          <w:p>
            <w:pPr>
              <w:spacing w:line="380" w:lineRule="exact"/>
              <w:rPr>
                <w:rFonts w:hint="eastAsia" w:ascii="宋体" w:hAnsi="宋体"/>
                <w:color w:val="auto"/>
                <w:szCs w:val="21"/>
                <w:highlight w:val="none"/>
              </w:rPr>
            </w:pPr>
          </w:p>
        </w:tc>
        <w:tc>
          <w:tcPr>
            <w:tcW w:w="410" w:type="pct"/>
            <w:noWrap w:val="0"/>
            <w:vAlign w:val="top"/>
          </w:tcPr>
          <w:p>
            <w:pPr>
              <w:spacing w:line="380" w:lineRule="exact"/>
              <w:rPr>
                <w:rFonts w:hint="eastAsia" w:ascii="宋体" w:hAnsi="宋体"/>
                <w:color w:val="auto"/>
                <w:szCs w:val="21"/>
                <w:highlight w:val="none"/>
              </w:rPr>
            </w:pPr>
          </w:p>
        </w:tc>
        <w:tc>
          <w:tcPr>
            <w:tcW w:w="634" w:type="pct"/>
            <w:noWrap w:val="0"/>
            <w:vAlign w:val="top"/>
          </w:tcPr>
          <w:p>
            <w:pPr>
              <w:spacing w:line="380" w:lineRule="exact"/>
              <w:rPr>
                <w:rFonts w:hint="eastAsia" w:ascii="宋体" w:hAnsi="宋体"/>
                <w:color w:val="auto"/>
                <w:szCs w:val="21"/>
                <w:highlight w:val="none"/>
              </w:rPr>
            </w:pPr>
          </w:p>
        </w:tc>
        <w:tc>
          <w:tcPr>
            <w:tcW w:w="709" w:type="pct"/>
            <w:noWrap w:val="0"/>
            <w:vAlign w:val="top"/>
          </w:tcPr>
          <w:p>
            <w:pPr>
              <w:spacing w:line="380" w:lineRule="exact"/>
              <w:rPr>
                <w:rFonts w:hint="eastAsia" w:ascii="宋体" w:hAnsi="宋体"/>
                <w:color w:val="auto"/>
                <w:szCs w:val="21"/>
                <w:highlight w:val="none"/>
              </w:rPr>
            </w:pPr>
          </w:p>
        </w:tc>
        <w:tc>
          <w:tcPr>
            <w:tcW w:w="298" w:type="pct"/>
            <w:noWrap w:val="0"/>
            <w:vAlign w:val="top"/>
          </w:tcPr>
          <w:p>
            <w:pPr>
              <w:spacing w:line="380" w:lineRule="exact"/>
              <w:rPr>
                <w:rFonts w:hint="eastAsia" w:ascii="宋体" w:hAnsi="宋体"/>
                <w:color w:val="auto"/>
                <w:szCs w:val="21"/>
                <w:highlight w:val="none"/>
              </w:rPr>
            </w:pPr>
          </w:p>
        </w:tc>
        <w:tc>
          <w:tcPr>
            <w:tcW w:w="410" w:type="pct"/>
            <w:noWrap w:val="0"/>
            <w:vAlign w:val="top"/>
          </w:tcPr>
          <w:p>
            <w:pPr>
              <w:spacing w:line="380" w:lineRule="exact"/>
              <w:rPr>
                <w:rFonts w:hint="eastAsia" w:ascii="宋体" w:hAnsi="宋体"/>
                <w:color w:val="auto"/>
                <w:szCs w:val="21"/>
                <w:highlight w:val="none"/>
              </w:rPr>
            </w:pPr>
          </w:p>
        </w:tc>
        <w:tc>
          <w:tcPr>
            <w:tcW w:w="522" w:type="pct"/>
            <w:noWrap w:val="0"/>
            <w:vAlign w:val="top"/>
          </w:tcPr>
          <w:p>
            <w:pPr>
              <w:spacing w:line="380" w:lineRule="exact"/>
              <w:rPr>
                <w:rFonts w:hint="eastAsia" w:ascii="宋体" w:hAnsi="宋体"/>
                <w:color w:val="auto"/>
                <w:szCs w:val="21"/>
                <w:highlight w:val="none"/>
              </w:rPr>
            </w:pPr>
          </w:p>
        </w:tc>
        <w:tc>
          <w:tcPr>
            <w:tcW w:w="261" w:type="pct"/>
            <w:noWrap w:val="0"/>
            <w:vAlign w:val="top"/>
          </w:tcPr>
          <w:p>
            <w:pPr>
              <w:spacing w:line="38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8" w:hRule="atLeast"/>
        </w:trPr>
        <w:tc>
          <w:tcPr>
            <w:tcW w:w="151" w:type="pct"/>
            <w:vMerge w:val="continue"/>
            <w:noWrap w:val="0"/>
            <w:vAlign w:val="top"/>
          </w:tcPr>
          <w:p>
            <w:pPr>
              <w:spacing w:line="380" w:lineRule="exact"/>
              <w:rPr>
                <w:rFonts w:hint="eastAsia" w:ascii="宋体" w:hAnsi="宋体"/>
                <w:color w:val="auto"/>
                <w:szCs w:val="21"/>
                <w:highlight w:val="none"/>
              </w:rPr>
            </w:pPr>
          </w:p>
        </w:tc>
        <w:tc>
          <w:tcPr>
            <w:tcW w:w="4064" w:type="pct"/>
            <w:gridSpan w:val="9"/>
            <w:noWrap w:val="0"/>
            <w:vAlign w:val="center"/>
          </w:tcPr>
          <w:p>
            <w:pPr>
              <w:spacing w:line="380" w:lineRule="exact"/>
              <w:rPr>
                <w:rFonts w:hint="eastAsia" w:ascii="宋体" w:hAnsi="宋体"/>
                <w:color w:val="auto"/>
                <w:szCs w:val="21"/>
                <w:highlight w:val="none"/>
              </w:rPr>
            </w:pPr>
            <w:r>
              <w:rPr>
                <w:rFonts w:hint="eastAsia" w:ascii="宋体" w:hAnsi="宋体"/>
                <w:color w:val="auto"/>
                <w:szCs w:val="21"/>
                <w:highlight w:val="none"/>
              </w:rPr>
              <w:t>小、微企业产品合计金额（人民币）:</w:t>
            </w:r>
          </w:p>
        </w:tc>
        <w:tc>
          <w:tcPr>
            <w:tcW w:w="783" w:type="pct"/>
            <w:gridSpan w:val="2"/>
            <w:noWrap w:val="0"/>
            <w:vAlign w:val="center"/>
          </w:tcPr>
          <w:p>
            <w:pPr>
              <w:spacing w:line="380" w:lineRule="exact"/>
              <w:rPr>
                <w:rFonts w:hint="eastAsia" w:ascii="宋体" w:hAnsi="宋体"/>
                <w:color w:val="auto"/>
                <w:szCs w:val="21"/>
                <w:highlight w:val="none"/>
              </w:rPr>
            </w:pPr>
          </w:p>
        </w:tc>
      </w:tr>
    </w:tbl>
    <w:p>
      <w:pPr>
        <w:spacing w:line="280" w:lineRule="exact"/>
        <w:rPr>
          <w:rFonts w:hint="eastAsia" w:ascii="宋体" w:hAnsi="宋体"/>
          <w:color w:val="auto"/>
          <w:szCs w:val="21"/>
          <w:highlight w:val="none"/>
        </w:rPr>
      </w:pPr>
      <w:r>
        <w:rPr>
          <w:rFonts w:hint="eastAsia" w:ascii="宋体" w:hAnsi="宋体"/>
          <w:color w:val="auto"/>
          <w:szCs w:val="21"/>
          <w:highlight w:val="none"/>
        </w:rPr>
        <w:t xml:space="preserve"> 注：1．本表以合同包为单位，不同合同包请分别填写，同一合同包请按照该合同包的品目号顺序分别填写。</w:t>
      </w:r>
    </w:p>
    <w:p>
      <w:pPr>
        <w:spacing w:line="2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2．栏目5系指《</w:t>
      </w:r>
      <w:r>
        <w:rPr>
          <w:rFonts w:hint="eastAsia" w:ascii="宋体" w:hAnsi="宋体"/>
          <w:b/>
          <w:color w:val="auto"/>
          <w:szCs w:val="21"/>
          <w:highlight w:val="none"/>
        </w:rPr>
        <w:t>中小企业划型标准规定》第三条罗列的</w:t>
      </w:r>
      <w:r>
        <w:rPr>
          <w:rFonts w:hint="eastAsia" w:ascii="宋体" w:hAnsi="宋体"/>
          <w:color w:val="auto"/>
          <w:szCs w:val="21"/>
          <w:highlight w:val="none"/>
        </w:rPr>
        <w:t>适用的</w:t>
      </w:r>
      <w:r>
        <w:rPr>
          <w:rFonts w:hint="eastAsia" w:ascii="宋体" w:hAnsi="宋体"/>
          <w:b/>
          <w:color w:val="auto"/>
          <w:szCs w:val="21"/>
          <w:highlight w:val="none"/>
        </w:rPr>
        <w:t>行业</w:t>
      </w:r>
      <w:r>
        <w:rPr>
          <w:rFonts w:hint="eastAsia" w:ascii="宋体" w:hAnsi="宋体"/>
          <w:color w:val="auto"/>
          <w:szCs w:val="21"/>
          <w:highlight w:val="none"/>
        </w:rPr>
        <w:t>。</w:t>
      </w:r>
    </w:p>
    <w:p>
      <w:pPr>
        <w:spacing w:line="2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3．栏目6系指营业收入、资产总额、从业人员。</w:t>
      </w:r>
    </w:p>
    <w:p>
      <w:pPr>
        <w:spacing w:line="2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4．栏目11＝栏目10×栏目9。</w:t>
      </w:r>
    </w:p>
    <w:p>
      <w:pPr>
        <w:spacing w:line="2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5．小、微企业产品合计金额＝栏目11的合计数。</w:t>
      </w:r>
    </w:p>
    <w:p>
      <w:pPr>
        <w:spacing w:line="280" w:lineRule="exact"/>
        <w:ind w:firstLine="420" w:firstLineChars="200"/>
        <w:rPr>
          <w:rFonts w:hint="eastAsia" w:ascii="宋体" w:hAnsi="宋体"/>
          <w:b/>
          <w:color w:val="auto"/>
          <w:szCs w:val="21"/>
          <w:highlight w:val="none"/>
        </w:rPr>
      </w:pPr>
      <w:r>
        <w:rPr>
          <w:rFonts w:hint="eastAsia" w:ascii="宋体" w:hAnsi="宋体"/>
          <w:color w:val="auto"/>
          <w:szCs w:val="21"/>
          <w:highlight w:val="none"/>
        </w:rPr>
        <w:t xml:space="preserve">6．后附相关证明材料，未附证明材料或未详细填写本表将不予价格扣除。   </w:t>
      </w:r>
    </w:p>
    <w:p>
      <w:pPr>
        <w:spacing w:line="280" w:lineRule="exact"/>
        <w:ind w:right="624" w:rightChars="297" w:firstLine="420" w:firstLineChars="200"/>
        <w:rPr>
          <w:rFonts w:hint="eastAsia" w:ascii="宋体" w:hAnsi="宋体"/>
          <w:color w:val="auto"/>
          <w:szCs w:val="21"/>
          <w:highlight w:val="none"/>
        </w:rPr>
      </w:pPr>
    </w:p>
    <w:p>
      <w:pPr>
        <w:spacing w:line="260" w:lineRule="exact"/>
        <w:ind w:right="624" w:rightChars="297" w:firstLine="420" w:firstLineChars="200"/>
        <w:rPr>
          <w:rFonts w:hint="eastAsia" w:ascii="宋体" w:hAnsi="宋体"/>
          <w:b/>
          <w:color w:val="auto"/>
          <w:sz w:val="24"/>
          <w:highlight w:val="none"/>
        </w:rPr>
      </w:pPr>
      <w:r>
        <w:rPr>
          <w:rFonts w:hint="eastAsia" w:ascii="宋体" w:hAnsi="宋体"/>
          <w:color w:val="auto"/>
          <w:szCs w:val="21"/>
          <w:highlight w:val="none"/>
        </w:rPr>
        <w:t xml:space="preserve">投标人代表签字： </w:t>
      </w:r>
      <w:r>
        <w:rPr>
          <w:rFonts w:hint="eastAsia" w:ascii="宋体" w:hAnsi="宋体"/>
          <w:color w:val="auto"/>
          <w:szCs w:val="21"/>
          <w:highlight w:val="none"/>
          <w:u w:val="single"/>
        </w:rPr>
        <w:t xml:space="preserve">          </w:t>
      </w:r>
    </w:p>
    <w:p>
      <w:pPr>
        <w:pStyle w:val="19"/>
        <w:ind w:firstLine="480"/>
        <w:jc w:val="left"/>
        <w:rPr>
          <w:color w:val="auto"/>
          <w:highlight w:val="none"/>
        </w:rPr>
      </w:pPr>
    </w:p>
    <w:bookmarkEnd w:id="77"/>
    <w:sectPr>
      <w:footerReference r:id="rId6" w:type="default"/>
      <w:pgSz w:w="11906" w:h="16838"/>
      <w:pgMar w:top="1440" w:right="969" w:bottom="1440" w:left="96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幼圆">
    <w:altName w:val="华文宋体"/>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Tahoma">
    <w:panose1 w:val="020B0804030504040204"/>
    <w:charset w:val="00"/>
    <w:family w:val="auto"/>
    <w:pitch w:val="default"/>
    <w:sig w:usb0="E1002AFF" w:usb1="C000605B" w:usb2="00000029" w:usb3="00000000" w:csb0="200101FF" w:csb1="2028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华文宋体">
    <w:panose1 w:val="02010600040101010101"/>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MIkSXjECAABhBAAADgAAAAAAAAABACAAAAA1&#10;AQAAZHJzL2Uyb0RvYy54bWxQSwUGAAAAAAYABgBZAQAA2AU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i4dkMgIAAGE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PWLh2QyAgAAYQQAAA4AAAAAAAAAAQAgAAAA&#10;NQEAAGRycy9lMm9Eb2MueG1sUEsFBgAAAAAGAAYAWQEAANkFA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5966DC"/>
    <w:multiLevelType w:val="multilevel"/>
    <w:tmpl w:val="295966D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338EAF0"/>
    <w:multiLevelType w:val="singleLevel"/>
    <w:tmpl w:val="3338EAF0"/>
    <w:lvl w:ilvl="0" w:tentative="0">
      <w:start w:val="1"/>
      <w:numFmt w:val="decimal"/>
      <w:suff w:val="nothing"/>
      <w:lvlText w:val="（%1）"/>
      <w:lvlJc w:val="left"/>
    </w:lvl>
  </w:abstractNum>
  <w:abstractNum w:abstractNumId="2">
    <w:nsid w:val="5699504F"/>
    <w:multiLevelType w:val="singleLevel"/>
    <w:tmpl w:val="5699504F"/>
    <w:lvl w:ilvl="0" w:tentative="0">
      <w:start w:val="1"/>
      <w:numFmt w:val="decimalEnclosedCircleChinese"/>
      <w:suff w:val="nothing"/>
      <w:lvlText w:val="%1　"/>
      <w:lvlJc w:val="left"/>
      <w:pPr>
        <w:ind w:left="0" w:firstLine="400"/>
      </w:pPr>
      <w:rPr>
        <w:rFonts w:hint="eastAsia"/>
      </w:rPr>
    </w:lvl>
  </w:abstractNum>
  <w:abstractNum w:abstractNumId="3">
    <w:nsid w:val="6EFA3032"/>
    <w:multiLevelType w:val="singleLevel"/>
    <w:tmpl w:val="6EFA3032"/>
    <w:lvl w:ilvl="0" w:tentative="0">
      <w:start w:val="1"/>
      <w:numFmt w:val="lowerLetter"/>
      <w:lvlText w:val="%1."/>
      <w:lvlJc w:val="left"/>
      <w:pPr>
        <w:tabs>
          <w:tab w:val="left" w:pos="312"/>
        </w:tabs>
      </w:pPr>
    </w:lvl>
  </w:abstractNum>
  <w:abstractNum w:abstractNumId="4">
    <w:nsid w:val="77C0C726"/>
    <w:multiLevelType w:val="singleLevel"/>
    <w:tmpl w:val="77C0C726"/>
    <w:lvl w:ilvl="0" w:tentative="0">
      <w:start w:val="1"/>
      <w:numFmt w:val="decimal"/>
      <w:suff w:val="nothing"/>
      <w:lvlText w:val="（%1）"/>
      <w:lvlJc w:val="left"/>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jMGE0YmUxZjVjNWQwNTNkNmZhYmY5NzNkMDc3YmMifQ=="/>
    <w:docVar w:name="KSO_WPS_MARK_KEY" w:val="047fab4f-913c-414a-aedf-c926a71529cc"/>
  </w:docVars>
  <w:rsids>
    <w:rsidRoot w:val="53B52B8D"/>
    <w:rsid w:val="037A2BD2"/>
    <w:rsid w:val="0AA2053F"/>
    <w:rsid w:val="0AB0031C"/>
    <w:rsid w:val="0BA025BF"/>
    <w:rsid w:val="0BDD70B7"/>
    <w:rsid w:val="177F50ED"/>
    <w:rsid w:val="1CF947A4"/>
    <w:rsid w:val="349F1B61"/>
    <w:rsid w:val="36DE5375"/>
    <w:rsid w:val="384F0C8B"/>
    <w:rsid w:val="417116E0"/>
    <w:rsid w:val="53B52B8D"/>
    <w:rsid w:val="5DD44F45"/>
    <w:rsid w:val="6A8B3002"/>
    <w:rsid w:val="75F76319"/>
    <w:rsid w:val="77F79321"/>
    <w:rsid w:val="783B46B7"/>
    <w:rsid w:val="B7BFE015"/>
    <w:rsid w:val="BBBF7779"/>
    <w:rsid w:val="D56E4249"/>
    <w:rsid w:val="E99F8019"/>
    <w:rsid w:val="F77C050E"/>
    <w:rsid w:val="F7BB3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3"/>
    <w:basedOn w:val="1"/>
    <w:next w:val="1"/>
    <w:qFormat/>
    <w:uiPriority w:val="0"/>
    <w:pPr>
      <w:keepNext/>
      <w:keepLines/>
      <w:spacing w:before="260" w:beforeLines="0" w:after="260" w:afterLines="0" w:line="416" w:lineRule="auto"/>
      <w:outlineLvl w:val="2"/>
    </w:pPr>
    <w:rPr>
      <w:b/>
      <w:sz w:val="32"/>
      <w:szCs w:val="20"/>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sz w:val="24"/>
    </w:rPr>
  </w:style>
  <w:style w:type="paragraph" w:styleId="3">
    <w:name w:val="Body Text First Indent"/>
    <w:basedOn w:val="2"/>
    <w:next w:val="4"/>
    <w:unhideWhenUsed/>
    <w:qFormat/>
    <w:uiPriority w:val="99"/>
    <w:pPr>
      <w:spacing w:after="120" w:afterLines="0"/>
      <w:ind w:firstLine="420" w:firstLineChars="100"/>
    </w:pPr>
    <w:rPr>
      <w:color w:val="auto"/>
    </w:rPr>
  </w:style>
  <w:style w:type="paragraph" w:styleId="4">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List 2"/>
    <w:basedOn w:val="1"/>
    <w:qFormat/>
    <w:uiPriority w:val="0"/>
    <w:pPr>
      <w:ind w:left="100" w:leftChars="200" w:hanging="200" w:hangingChars="200"/>
    </w:pPr>
  </w:style>
  <w:style w:type="paragraph" w:styleId="9">
    <w:name w:val="Plain Text"/>
    <w:basedOn w:val="1"/>
    <w:next w:val="1"/>
    <w:qFormat/>
    <w:uiPriority w:val="0"/>
    <w:pPr>
      <w:widowControl/>
      <w:jc w:val="left"/>
    </w:pPr>
    <w:rPr>
      <w:rFonts w:ascii="宋体" w:hAnsi="Courier New"/>
      <w:kern w:val="0"/>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widowControl/>
      <w:spacing w:before="100" w:beforeLines="0" w:beforeAutospacing="1" w:after="100" w:afterLines="0" w:afterAutospacing="1"/>
      <w:jc w:val="left"/>
    </w:pPr>
    <w:rPr>
      <w:rFonts w:ascii="宋体" w:hAnsi="宋体"/>
      <w:kern w:val="0"/>
      <w:sz w:val="24"/>
      <w:szCs w:val="20"/>
    </w:rPr>
  </w:style>
  <w:style w:type="paragraph" w:styleId="13">
    <w:name w:val="index 1"/>
    <w:basedOn w:val="1"/>
    <w:next w:val="1"/>
    <w:qFormat/>
    <w:uiPriority w:val="0"/>
    <w:pPr>
      <w:spacing w:line="500" w:lineRule="exact"/>
      <w:jc w:val="center"/>
    </w:pPr>
    <w:rPr>
      <w:rFonts w:ascii="幼圆" w:hAnsi="宋体" w:eastAsia="幼圆"/>
    </w:rPr>
  </w:style>
  <w:style w:type="character" w:styleId="16">
    <w:name w:val="Strong"/>
    <w:basedOn w:val="15"/>
    <w:qFormat/>
    <w:uiPriority w:val="0"/>
    <w:rPr>
      <w:rFonts w:ascii="Calibri" w:hAnsi="Calibri"/>
      <w:b/>
      <w:bCs/>
    </w:rPr>
  </w:style>
  <w:style w:type="character" w:styleId="17">
    <w:name w:val="Hyperlink"/>
    <w:qFormat/>
    <w:uiPriority w:val="0"/>
    <w:rPr>
      <w:rFonts w:ascii="Calibri" w:hAnsi="Calibri"/>
      <w:color w:val="0000FF"/>
      <w:u w:val="single"/>
    </w:rPr>
  </w:style>
  <w:style w:type="paragraph" w:customStyle="1" w:styleId="18">
    <w:name w:val="Fließtext"/>
    <w:basedOn w:val="1"/>
    <w:qFormat/>
    <w:uiPriority w:val="0"/>
    <w:pPr>
      <w:overflowPunct w:val="0"/>
      <w:autoSpaceDE w:val="0"/>
      <w:autoSpaceDN w:val="0"/>
      <w:textAlignment w:val="baseline"/>
    </w:pPr>
    <w:rPr>
      <w:kern w:val="28"/>
      <w:szCs w:val="20"/>
    </w:rPr>
  </w:style>
  <w:style w:type="paragraph" w:customStyle="1" w:styleId="19">
    <w:name w:val="null3"/>
    <w:hidden/>
    <w:qFormat/>
    <w:uiPriority w:val="0"/>
    <w:rPr>
      <w:rFonts w:hint="eastAsia" w:asciiTheme="minorHAnsi" w:hAnsiTheme="minorHAnsi" w:eastAsiaTheme="minorEastAsia" w:cstheme="minorBidi"/>
      <w:lang w:val="en-US" w:eastAsia="zh-Hans"/>
    </w:rPr>
  </w:style>
  <w:style w:type="paragraph" w:customStyle="1" w:styleId="20">
    <w:name w:val="_Style 3"/>
    <w:basedOn w:val="1"/>
    <w:qFormat/>
    <w:uiPriority w:val="0"/>
    <w:pPr>
      <w:spacing w:line="240" w:lineRule="atLeast"/>
      <w:ind w:left="420" w:firstLine="420"/>
    </w:pPr>
    <w:rPr>
      <w:rFonts w:ascii="Calibri" w:hAnsi="Calibri"/>
    </w:rPr>
  </w:style>
  <w:style w:type="paragraph" w:customStyle="1" w:styleId="21">
    <w:name w:val="正文首缩两字"/>
    <w:basedOn w:val="1"/>
    <w:qFormat/>
    <w:uiPriority w:val="0"/>
    <w:pPr>
      <w:spacing w:line="360" w:lineRule="auto"/>
      <w:ind w:firstLine="200" w:firstLineChars="200"/>
    </w:pPr>
    <w:rPr>
      <w:rFonts w:ascii="Verdana" w:hAnsi="Verdana"/>
      <w:sz w:val="24"/>
    </w:rPr>
  </w:style>
  <w:style w:type="paragraph" w:customStyle="1" w:styleId="22">
    <w:name w:val="样式3"/>
    <w:basedOn w:val="9"/>
    <w:qFormat/>
    <w:uiPriority w:val="0"/>
    <w:pPr>
      <w:widowControl w:val="0"/>
      <w:spacing w:line="0" w:lineRule="atLeast"/>
      <w:jc w:val="both"/>
      <w:outlineLvl w:val="0"/>
    </w:pPr>
    <w:rPr>
      <w:rFonts w:hint="eastAsia"/>
      <w:kern w:val="2"/>
      <w:sz w:val="28"/>
    </w:rPr>
  </w:style>
  <w:style w:type="paragraph" w:customStyle="1" w:styleId="23">
    <w:name w:val="样式 正文首行缩进 + 首行缩进:  2 字符1 Char Char"/>
    <w:qFormat/>
    <w:uiPriority w:val="0"/>
    <w:pPr>
      <w:widowControl w:val="0"/>
      <w:adjustRightInd w:val="0"/>
      <w:spacing w:line="400" w:lineRule="exact"/>
      <w:ind w:firstLine="480" w:firstLineChars="200"/>
      <w:jc w:val="both"/>
      <w:textAlignment w:val="baseline"/>
    </w:pPr>
    <w:rPr>
      <w:rFonts w:ascii="宋体" w:hAnsi="宋体" w:eastAsia="仿宋_GB2312" w:cs="宋体"/>
      <w:color w:val="000000"/>
      <w:kern w:val="2"/>
      <w:sz w:val="26"/>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87</Pages>
  <Words>60104</Words>
  <Characters>65232</Characters>
  <Lines>0</Lines>
  <Paragraphs>0</Paragraphs>
  <TotalTime>2</TotalTime>
  <ScaleCrop>false</ScaleCrop>
  <LinksUpToDate>false</LinksUpToDate>
  <CharactersWithSpaces>70762</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2022-04-09T19:57:00Z</dcterms:created>
  <dc:creator>administrator</dc:creator>
  <cp:lastModifiedBy>梅西</cp:lastModifiedBy>
  <cp:lastPrinted>2024-08-10T08:03:00Z</cp:lastPrinted>
  <dcterms:modified xsi:type="dcterms:W3CDTF">2024-08-10T23:51:02Z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5BD736F2AF52314B318CB766D267E1FE_43</vt:lpwstr>
  </property>
</Properties>
</file>